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Mutual action plan template</w:t>
      </w:r>
    </w:p>
    <w:p>
      <w:r>
        <w:t>A mutual action plan template is a shared timeline that a seller and a buyer agree on together. It lists every step from discovery to signature and go-live, who owns each step on both sides, the target date and what "done" means. Use the free table below, or download the Excel or Word version with no form to fill in.</w:t>
      </w:r>
    </w:p>
    <w:p>
      <w:r>
        <w:rPr>
          <w:sz w:val="16"/>
        </w:rPr>
        <w:t>Last updated 2026-10-15. Online version: https://www.revspire.io/resources/templates/mutual-action-plan-template</w:t>
      </w:r>
    </w:p>
    <w:p>
      <w:pPr>
        <w:pStyle w:val="Heading1"/>
      </w:pPr>
      <w:r>
        <w:t>How to use this template</w:t>
      </w:r>
    </w:p>
    <w:p>
      <w:pPr>
        <w:pStyle w:val="ListNumber"/>
      </w:pPr>
      <w:r>
        <w:rPr>
          <w:b/>
        </w:rPr>
        <w:t xml:space="preserve">Draft it before you propose it: </w:t>
      </w:r>
      <w:r>
        <w:t>Arrive at the post-discovery call with a draft based on what the buyer told you. A blank template asks the buyer to do your job; a draft gives them something to correct.</w:t>
      </w:r>
    </w:p>
    <w:p>
      <w:pPr>
        <w:pStyle w:val="ListNumber"/>
      </w:pPr>
      <w:r>
        <w:rPr>
          <w:b/>
        </w:rPr>
        <w:t xml:space="preserve">Work backward from the buyer's date: </w:t>
      </w:r>
      <w:r>
        <w:t>Start with the compelling event and the go-live date, then place signature, legal, procurement and security review before it. If the dates do not fit, say so now rather than in week nine.</w:t>
      </w:r>
    </w:p>
    <w:p>
      <w:pPr>
        <w:pStyle w:val="ListNumber"/>
      </w:pPr>
      <w:r>
        <w:rPr>
          <w:b/>
        </w:rPr>
        <w:t xml:space="preserve">Name a buyer owner for every buyer step: </w:t>
      </w:r>
      <w:r>
        <w:t>Security, procurement and legal steps need a named person on the buyer's side. A milestone with no buyer owner is a risk you should raise with your champion.</w:t>
      </w:r>
    </w:p>
    <w:p>
      <w:pPr>
        <w:pStyle w:val="ListNumber"/>
      </w:pPr>
      <w:r>
        <w:rPr>
          <w:b/>
        </w:rPr>
        <w:t xml:space="preserve">Define "done" for each milestone: </w:t>
      </w:r>
      <w:r>
        <w:t>Write the exit criteria in plain language, such as "questionnaire signed off" rather than "security". It stops a milestone from being marked complete when it is only started.</w:t>
      </w:r>
    </w:p>
    <w:p>
      <w:pPr>
        <w:pStyle w:val="ListNumber"/>
      </w:pPr>
      <w:r>
        <w:rPr>
          <w:b/>
        </w:rPr>
        <w:t xml:space="preserve">Agree it live and let the buyer edit: </w:t>
      </w:r>
      <w:r>
        <w:t>Walk through the plan on a call, invite changes and confirm it in writing. A plan the buyer has changed is a plan the buyer believes in.</w:t>
      </w:r>
    </w:p>
    <w:p>
      <w:pPr>
        <w:pStyle w:val="ListNumber"/>
      </w:pPr>
      <w:r>
        <w:rPr>
          <w:b/>
        </w:rPr>
        <w:t xml:space="preserve">Keep one shared version and inspect it: </w:t>
      </w:r>
      <w:r>
        <w:t>Store the plan where both sides can see the latest version, update it after every meeting, and review slipped buyer milestones in your deal and forecast reviews.</w:t>
      </w:r>
    </w:p>
    <w:p>
      <w:pPr>
        <w:pStyle w:val="Heading1"/>
      </w:pPr>
      <w:r>
        <w:t>The mutual action plan template</w:t>
      </w:r>
    </w:p>
    <w:p>
      <w:r>
        <w:t>Fill in the header first, then adjust the milestones to your sales process. Keep owners as named people, not teams. The "Done when" column is pre-filled with suggested exit criteria you can edit.</w:t>
      </w:r>
    </w:p>
    <w:p>
      <w:pPr>
        <w:pStyle w:val="Heading3"/>
      </w:pPr>
      <w:r>
        <w:t>Plan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Buyer / seller</w:t>
            </w:r>
          </w:p>
        </w:tc>
        <w:tc>
          <w:tcPr>
            <w:tcW w:type="dxa" w:w="4080"/>
          </w:tcPr>
          <w:p>
            <w:r/>
            <w:r>
              <w:rPr>
                <w:sz w:val="18"/>
              </w:rPr>
              <w:t>[Buyer company] and [seller company]</w:t>
            </w:r>
          </w:p>
        </w:tc>
        <w:tc>
          <w:tcPr>
            <w:tcW w:type="dxa" w:w="4080"/>
          </w:tcPr>
          <w:p>
            <w:r/>
            <w:r>
              <w:rPr>
                <w:sz w:val="18"/>
              </w:rPr>
            </w:r>
          </w:p>
        </w:tc>
      </w:tr>
      <w:tr>
        <w:tc>
          <w:tcPr>
            <w:tcW w:type="dxa" w:w="4080"/>
          </w:tcPr>
          <w:p>
            <w:r/>
            <w:r>
              <w:rPr>
                <w:b/>
                <w:sz w:val="18"/>
              </w:rPr>
              <w:t>Shared goal</w:t>
            </w:r>
          </w:p>
        </w:tc>
        <w:tc>
          <w:tcPr>
            <w:tcW w:type="dxa" w:w="4080"/>
          </w:tcPr>
          <w:p>
            <w:r/>
            <w:r>
              <w:rPr>
                <w:sz w:val="18"/>
              </w:rPr>
              <w:t>[The business outcome the buyer wants, in their words]</w:t>
            </w:r>
          </w:p>
        </w:tc>
        <w:tc>
          <w:tcPr>
            <w:tcW w:type="dxa" w:w="4080"/>
          </w:tcPr>
          <w:p>
            <w:r/>
            <w:r>
              <w:rPr>
                <w:sz w:val="18"/>
              </w:rPr>
            </w:r>
          </w:p>
        </w:tc>
      </w:tr>
      <w:tr>
        <w:tc>
          <w:tcPr>
            <w:tcW w:type="dxa" w:w="4080"/>
          </w:tcPr>
          <w:p>
            <w:r/>
            <w:r>
              <w:rPr>
                <w:b/>
                <w:sz w:val="18"/>
              </w:rPr>
              <w:t>Success criteria</w:t>
            </w:r>
          </w:p>
        </w:tc>
        <w:tc>
          <w:tcPr>
            <w:tcW w:type="dxa" w:w="4080"/>
          </w:tcPr>
          <w:p>
            <w:r/>
            <w:r>
              <w:rPr>
                <w:sz w:val="18"/>
              </w:rPr>
              <w:t>[How the buyer will judge the evaluation a success]</w:t>
            </w:r>
          </w:p>
        </w:tc>
        <w:tc>
          <w:tcPr>
            <w:tcW w:type="dxa" w:w="4080"/>
          </w:tcPr>
          <w:p>
            <w:r/>
            <w:r>
              <w:rPr>
                <w:sz w:val="18"/>
              </w:rPr>
            </w:r>
          </w:p>
        </w:tc>
      </w:tr>
      <w:tr>
        <w:tc>
          <w:tcPr>
            <w:tcW w:type="dxa" w:w="4080"/>
          </w:tcPr>
          <w:p>
            <w:r/>
            <w:r>
              <w:rPr>
                <w:b/>
                <w:sz w:val="18"/>
              </w:rPr>
              <w:t>Compelling event and target date</w:t>
            </w:r>
          </w:p>
        </w:tc>
        <w:tc>
          <w:tcPr>
            <w:tcW w:type="dxa" w:w="4080"/>
          </w:tcPr>
          <w:p>
            <w:r/>
            <w:r>
              <w:rPr>
                <w:sz w:val="18"/>
              </w:rPr>
              <w:t>[Why this must happen by when, e.g. renewal or launch] / [date]</w:t>
            </w:r>
          </w:p>
        </w:tc>
        <w:tc>
          <w:tcPr>
            <w:tcW w:type="dxa" w:w="4080"/>
          </w:tcPr>
          <w:p>
            <w:r/>
            <w:r>
              <w:rPr>
                <w:sz w:val="18"/>
              </w:rPr>
            </w:r>
          </w:p>
        </w:tc>
      </w:tr>
      <w:tr>
        <w:tc>
          <w:tcPr>
            <w:tcW w:type="dxa" w:w="4080"/>
          </w:tcPr>
          <w:p>
            <w:r/>
            <w:r>
              <w:rPr>
                <w:b/>
                <w:sz w:val="18"/>
              </w:rPr>
              <w:t>Buyer lead / seller lead</w:t>
            </w:r>
          </w:p>
        </w:tc>
        <w:tc>
          <w:tcPr>
            <w:tcW w:type="dxa" w:w="4080"/>
          </w:tcPr>
          <w:p>
            <w:r/>
            <w:r>
              <w:rPr>
                <w:sz w:val="18"/>
              </w:rPr>
              <w:t>[Champion name and title] / [account executive name]</w:t>
            </w:r>
          </w:p>
        </w:tc>
        <w:tc>
          <w:tcPr>
            <w:tcW w:type="dxa" w:w="4080"/>
          </w:tcPr>
          <w:p>
            <w:r/>
            <w:r>
              <w:rPr>
                <w:sz w:val="18"/>
              </w:rPr>
            </w:r>
          </w:p>
        </w:tc>
      </w:tr>
      <w:tr>
        <w:tc>
          <w:tcPr>
            <w:tcW w:type="dxa" w:w="4080"/>
          </w:tcPr>
          <w:p>
            <w:r/>
            <w:r>
              <w:rPr>
                <w:b/>
                <w:sz w:val="18"/>
              </w:rPr>
              <w:t>Last updated</w:t>
            </w:r>
          </w:p>
        </w:tc>
        <w:tc>
          <w:tcPr>
            <w:tcW w:type="dxa" w:w="4080"/>
          </w:tcPr>
          <w:p>
            <w:r/>
            <w:r>
              <w:rPr>
                <w:sz w:val="18"/>
              </w:rPr>
              <w:t>[Date and who updated it]</w:t>
            </w:r>
          </w:p>
        </w:tc>
        <w:tc>
          <w:tcPr>
            <w:tcW w:type="dxa" w:w="4080"/>
          </w:tcPr>
          <w:p>
            <w:r/>
            <w:r>
              <w:rPr>
                <w:sz w:val="18"/>
              </w:rPr>
            </w:r>
          </w:p>
        </w:tc>
      </w:tr>
    </w:tbl>
    <w:p/>
    <w:p>
      <w:pPr>
        <w:pStyle w:val="Heading3"/>
      </w:pPr>
      <w:r>
        <w:t>Plan milestones</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Phase</w:t>
            </w:r>
          </w:p>
        </w:tc>
        <w:tc>
          <w:tcPr>
            <w:tcW w:type="dxa" w:w="1749"/>
            <w:shd w:val="clear" w:color="auto" w:fill="DCE6F5"/>
          </w:tcPr>
          <w:p>
            <w:r/>
            <w:r>
              <w:rPr>
                <w:b/>
                <w:sz w:val="18"/>
              </w:rPr>
              <w:t>Milestone</w:t>
            </w:r>
          </w:p>
        </w:tc>
        <w:tc>
          <w:tcPr>
            <w:tcW w:type="dxa" w:w="1749"/>
            <w:shd w:val="clear" w:color="auto" w:fill="DCE6F5"/>
          </w:tcPr>
          <w:p>
            <w:r/>
            <w:r>
              <w:rPr>
                <w:b/>
                <w:sz w:val="18"/>
              </w:rPr>
              <w:t>Buyer owner</w:t>
            </w:r>
          </w:p>
        </w:tc>
        <w:tc>
          <w:tcPr>
            <w:tcW w:type="dxa" w:w="1749"/>
            <w:shd w:val="clear" w:color="auto" w:fill="DCE6F5"/>
          </w:tcPr>
          <w:p>
            <w:r/>
            <w:r>
              <w:rPr>
                <w:b/>
                <w:sz w:val="18"/>
              </w:rPr>
              <w:t>Seller owner</w:t>
            </w:r>
          </w:p>
        </w:tc>
        <w:tc>
          <w:tcPr>
            <w:tcW w:type="dxa" w:w="1749"/>
            <w:shd w:val="clear" w:color="auto" w:fill="DCE6F5"/>
          </w:tcPr>
          <w:p>
            <w:r/>
            <w:r>
              <w:rPr>
                <w:b/>
                <w:sz w:val="18"/>
              </w:rPr>
              <w:t>Target date</w:t>
            </w:r>
          </w:p>
        </w:tc>
        <w:tc>
          <w:tcPr>
            <w:tcW w:type="dxa" w:w="1749"/>
            <w:shd w:val="clear" w:color="auto" w:fill="DCE6F5"/>
          </w:tcPr>
          <w:p>
            <w:r/>
            <w:r>
              <w:rPr>
                <w:b/>
                <w:sz w:val="18"/>
              </w:rPr>
              <w:t>Status</w:t>
            </w:r>
          </w:p>
        </w:tc>
        <w:tc>
          <w:tcPr>
            <w:tcW w:type="dxa" w:w="1749"/>
            <w:shd w:val="clear" w:color="auto" w:fill="DCE6F5"/>
          </w:tcPr>
          <w:p>
            <w:r/>
            <w:r>
              <w:rPr>
                <w:b/>
                <w:sz w:val="18"/>
              </w:rPr>
              <w:t>Done when</w:t>
            </w:r>
          </w:p>
        </w:tc>
      </w:tr>
      <w:tr>
        <w:tc>
          <w:tcPr>
            <w:tcW w:type="dxa" w:w="1749"/>
          </w:tcPr>
          <w:p>
            <w:r/>
            <w:r>
              <w:rPr>
                <w:b/>
                <w:sz w:val="18"/>
              </w:rPr>
              <w:t>1. Align</w:t>
            </w:r>
          </w:p>
        </w:tc>
        <w:tc>
          <w:tcPr>
            <w:tcW w:type="dxa" w:w="1749"/>
          </w:tcPr>
          <w:p>
            <w:r/>
            <w:r>
              <w:rPr>
                <w:sz w:val="18"/>
              </w:rPr>
              <w:t>Problem, goals and success criteria agreed</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Buyer confirms the summary in writing</w:t>
            </w:r>
          </w:p>
        </w:tc>
      </w:tr>
      <w:tr>
        <w:tc>
          <w:tcPr>
            <w:tcW w:type="dxa" w:w="1749"/>
          </w:tcPr>
          <w:p>
            <w:r/>
            <w:r>
              <w:rPr>
                <w:b/>
                <w:sz w:val="18"/>
              </w:rPr>
              <w:t>1. Align</w:t>
            </w:r>
          </w:p>
        </w:tc>
        <w:tc>
          <w:tcPr>
            <w:tcW w:type="dxa" w:w="1749"/>
          </w:tcPr>
          <w:p>
            <w:r/>
            <w:r>
              <w:rPr>
                <w:sz w:val="18"/>
              </w:rPr>
              <w:t>Buying group identified</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Every role on the stakeholder map has a name or a plan to find one</w:t>
            </w:r>
          </w:p>
        </w:tc>
      </w:tr>
      <w:tr>
        <w:tc>
          <w:tcPr>
            <w:tcW w:type="dxa" w:w="1749"/>
          </w:tcPr>
          <w:p>
            <w:r/>
            <w:r>
              <w:rPr>
                <w:b/>
                <w:sz w:val="18"/>
              </w:rPr>
              <w:t>1. Align</w:t>
            </w:r>
          </w:p>
        </w:tc>
        <w:tc>
          <w:tcPr>
            <w:tcW w:type="dxa" w:w="1749"/>
          </w:tcPr>
          <w:p>
            <w:r/>
            <w:r>
              <w:rPr>
                <w:sz w:val="18"/>
              </w:rPr>
              <w:t>Mutual action plan reviewed together</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Buyer has edited and accepted the plan</w:t>
            </w:r>
          </w:p>
        </w:tc>
      </w:tr>
      <w:tr>
        <w:tc>
          <w:tcPr>
            <w:tcW w:type="dxa" w:w="1749"/>
          </w:tcPr>
          <w:p>
            <w:r/>
            <w:r>
              <w:rPr>
                <w:b/>
                <w:sz w:val="18"/>
              </w:rPr>
              <w:t>2. Evaluate</w:t>
            </w:r>
          </w:p>
        </w:tc>
        <w:tc>
          <w:tcPr>
            <w:tcW w:type="dxa" w:w="1749"/>
          </w:tcPr>
          <w:p>
            <w:r/>
            <w:r>
              <w:rPr>
                <w:sz w:val="18"/>
              </w:rPr>
              <w:t>Tailored demo or workshop</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Evaluators confirm their use cases were covered</w:t>
            </w:r>
          </w:p>
        </w:tc>
      </w:tr>
      <w:tr>
        <w:tc>
          <w:tcPr>
            <w:tcW w:type="dxa" w:w="1749"/>
          </w:tcPr>
          <w:p>
            <w:r/>
            <w:r>
              <w:rPr>
                <w:b/>
                <w:sz w:val="18"/>
              </w:rPr>
              <w:t>2. Evaluate</w:t>
            </w:r>
          </w:p>
        </w:tc>
        <w:tc>
          <w:tcPr>
            <w:tcW w:type="dxa" w:w="1749"/>
          </w:tcPr>
          <w:p>
            <w:r/>
            <w:r>
              <w:rPr>
                <w:sz w:val="18"/>
              </w:rPr>
              <w:t>Technical validation or pilot</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Agreed pilot criteria met, or gaps documented</w:t>
            </w:r>
          </w:p>
        </w:tc>
      </w:tr>
      <w:tr>
        <w:tc>
          <w:tcPr>
            <w:tcW w:type="dxa" w:w="1749"/>
          </w:tcPr>
          <w:p>
            <w:r/>
            <w:r>
              <w:rPr>
                <w:b/>
                <w:sz w:val="18"/>
              </w:rPr>
              <w:t>2. Evaluate</w:t>
            </w:r>
          </w:p>
        </w:tc>
        <w:tc>
          <w:tcPr>
            <w:tcW w:type="dxa" w:w="1749"/>
          </w:tcPr>
          <w:p>
            <w:r/>
            <w:r>
              <w:rPr>
                <w:sz w:val="18"/>
              </w:rPr>
              <w:t>Business case drafted with the champion</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Champion can present it without the seller</w:t>
            </w:r>
          </w:p>
        </w:tc>
      </w:tr>
      <w:tr>
        <w:tc>
          <w:tcPr>
            <w:tcW w:type="dxa" w:w="1749"/>
          </w:tcPr>
          <w:p>
            <w:r/>
            <w:r>
              <w:rPr>
                <w:b/>
                <w:sz w:val="18"/>
              </w:rPr>
              <w:t>3. Validate</w:t>
            </w:r>
          </w:p>
        </w:tc>
        <w:tc>
          <w:tcPr>
            <w:tcW w:type="dxa" w:w="1749"/>
          </w:tcPr>
          <w:p>
            <w:r/>
            <w:r>
              <w:rPr>
                <w:sz w:val="18"/>
              </w:rPr>
              <w:t>Security and IT review</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Questionnaire answered and reviewer signs off</w:t>
            </w:r>
          </w:p>
        </w:tc>
      </w:tr>
      <w:tr>
        <w:tc>
          <w:tcPr>
            <w:tcW w:type="dxa" w:w="1749"/>
          </w:tcPr>
          <w:p>
            <w:r/>
            <w:r>
              <w:rPr>
                <w:b/>
                <w:sz w:val="18"/>
              </w:rPr>
              <w:t>3. Validate</w:t>
            </w:r>
          </w:p>
        </w:tc>
        <w:tc>
          <w:tcPr>
            <w:tcW w:type="dxa" w:w="1749"/>
          </w:tcPr>
          <w:p>
            <w:r/>
            <w:r>
              <w:rPr>
                <w:sz w:val="18"/>
              </w:rPr>
              <w:t>Reference conversation</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Buyer has spoken to a comparable customer</w:t>
            </w:r>
          </w:p>
        </w:tc>
      </w:tr>
      <w:tr>
        <w:tc>
          <w:tcPr>
            <w:tcW w:type="dxa" w:w="1749"/>
          </w:tcPr>
          <w:p>
            <w:r/>
            <w:r>
              <w:rPr>
                <w:b/>
                <w:sz w:val="18"/>
              </w:rPr>
              <w:t>3. Validate</w:t>
            </w:r>
          </w:p>
        </w:tc>
        <w:tc>
          <w:tcPr>
            <w:tcW w:type="dxa" w:w="1749"/>
          </w:tcPr>
          <w:p>
            <w:r/>
            <w:r>
              <w:rPr>
                <w:sz w:val="18"/>
              </w:rPr>
              <w:t>Executive sponsor meeting</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Economic buyer confirms priority and budget</w:t>
            </w:r>
          </w:p>
        </w:tc>
      </w:tr>
      <w:tr>
        <w:tc>
          <w:tcPr>
            <w:tcW w:type="dxa" w:w="1749"/>
          </w:tcPr>
          <w:p>
            <w:r/>
            <w:r>
              <w:rPr>
                <w:b/>
                <w:sz w:val="18"/>
              </w:rPr>
              <w:t>4. Decide</w:t>
            </w:r>
          </w:p>
        </w:tc>
        <w:tc>
          <w:tcPr>
            <w:tcW w:type="dxa" w:w="1749"/>
          </w:tcPr>
          <w:p>
            <w:r/>
            <w:r>
              <w:rPr>
                <w:sz w:val="18"/>
              </w:rPr>
              <w:t>Commercial proposal</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Proposal accepted or redlined</w:t>
            </w:r>
          </w:p>
        </w:tc>
      </w:tr>
      <w:tr>
        <w:tc>
          <w:tcPr>
            <w:tcW w:type="dxa" w:w="1749"/>
          </w:tcPr>
          <w:p>
            <w:r/>
            <w:r>
              <w:rPr>
                <w:b/>
                <w:sz w:val="18"/>
              </w:rPr>
              <w:t>4. Decide</w:t>
            </w:r>
          </w:p>
        </w:tc>
        <w:tc>
          <w:tcPr>
            <w:tcW w:type="dxa" w:w="1749"/>
          </w:tcPr>
          <w:p>
            <w:r/>
            <w:r>
              <w:rPr>
                <w:sz w:val="18"/>
              </w:rPr>
              <w:t>Procurement and vendor onboarding</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Vendor set up in the buyer's systems</w:t>
            </w:r>
          </w:p>
        </w:tc>
      </w:tr>
      <w:tr>
        <w:tc>
          <w:tcPr>
            <w:tcW w:type="dxa" w:w="1749"/>
          </w:tcPr>
          <w:p>
            <w:r/>
            <w:r>
              <w:rPr>
                <w:b/>
                <w:sz w:val="18"/>
              </w:rPr>
              <w:t>4. Decide</w:t>
            </w:r>
          </w:p>
        </w:tc>
        <w:tc>
          <w:tcPr>
            <w:tcW w:type="dxa" w:w="1749"/>
          </w:tcPr>
          <w:p>
            <w:r/>
            <w:r>
              <w:rPr>
                <w:sz w:val="18"/>
              </w:rPr>
              <w:t>Legal review of contract and data terms</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Final terms agreed by both legal teams</w:t>
            </w:r>
          </w:p>
        </w:tc>
      </w:tr>
      <w:tr>
        <w:tc>
          <w:tcPr>
            <w:tcW w:type="dxa" w:w="1749"/>
          </w:tcPr>
          <w:p>
            <w:r/>
            <w:r>
              <w:rPr>
                <w:b/>
                <w:sz w:val="18"/>
              </w:rPr>
              <w:t>4. Decide</w:t>
            </w:r>
          </w:p>
        </w:tc>
        <w:tc>
          <w:tcPr>
            <w:tcW w:type="dxa" w:w="1749"/>
          </w:tcPr>
          <w:p>
            <w:r/>
            <w:r>
              <w:rPr>
                <w:sz w:val="18"/>
              </w:rPr>
              <w:t>Signature</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Contract signed by the authorised signer</w:t>
            </w:r>
          </w:p>
        </w:tc>
      </w:tr>
      <w:tr>
        <w:tc>
          <w:tcPr>
            <w:tcW w:type="dxa" w:w="1749"/>
          </w:tcPr>
          <w:p>
            <w:r/>
            <w:r>
              <w:rPr>
                <w:b/>
                <w:sz w:val="18"/>
              </w:rPr>
              <w:t>5. Launch</w:t>
            </w:r>
          </w:p>
        </w:tc>
        <w:tc>
          <w:tcPr>
            <w:tcW w:type="dxa" w:w="1749"/>
          </w:tcPr>
          <w:p>
            <w:r/>
            <w:r>
              <w:rPr>
                <w:sz w:val="18"/>
              </w:rPr>
              <w:t>Kickoff and onboarding plan</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Implementation owners and dates agreed</w:t>
            </w:r>
          </w:p>
        </w:tc>
      </w:tr>
      <w:tr>
        <w:tc>
          <w:tcPr>
            <w:tcW w:type="dxa" w:w="1749"/>
          </w:tcPr>
          <w:p>
            <w:r/>
            <w:r>
              <w:rPr>
                <w:b/>
                <w:sz w:val="18"/>
              </w:rPr>
              <w:t>5. Launch</w:t>
            </w:r>
          </w:p>
        </w:tc>
        <w:tc>
          <w:tcPr>
            <w:tcW w:type="dxa" w:w="1749"/>
          </w:tcPr>
          <w:p>
            <w:r/>
            <w:r>
              <w:rPr>
                <w:sz w:val="18"/>
              </w:rPr>
              <w:t>First value review</w:t>
            </w:r>
          </w:p>
        </w:tc>
        <w:tc>
          <w:tcPr>
            <w:tcW w:type="dxa" w:w="1749"/>
          </w:tcPr>
          <w:p>
            <w:r/>
            <w:r>
              <w:rPr>
                <w:sz w:val="18"/>
              </w:rPr>
              <w:t>[Name]</w:t>
            </w:r>
          </w:p>
        </w:tc>
        <w:tc>
          <w:tcPr>
            <w:tcW w:type="dxa" w:w="1749"/>
          </w:tcPr>
          <w:p>
            <w:r/>
            <w:r>
              <w:rPr>
                <w:sz w:val="18"/>
              </w:rPr>
              <w:t>[Name]</w:t>
            </w:r>
          </w:p>
        </w:tc>
        <w:tc>
          <w:tcPr>
            <w:tcW w:type="dxa" w:w="1749"/>
          </w:tcPr>
          <w:p>
            <w:r/>
            <w:r>
              <w:rPr>
                <w:sz w:val="18"/>
              </w:rPr>
              <w:t>[Date]</w:t>
            </w:r>
          </w:p>
        </w:tc>
        <w:tc>
          <w:tcPr>
            <w:tcW w:type="dxa" w:w="1749"/>
          </w:tcPr>
          <w:p>
            <w:r/>
            <w:r>
              <w:rPr>
                <w:sz w:val="18"/>
              </w:rPr>
              <w:t>Not started</w:t>
            </w:r>
          </w:p>
        </w:tc>
        <w:tc>
          <w:tcPr>
            <w:tcW w:type="dxa" w:w="1749"/>
          </w:tcPr>
          <w:p>
            <w:r/>
            <w:r>
              <w:rPr>
                <w:sz w:val="18"/>
              </w:rPr>
              <w:t>Buyer confirms progress against the shared goal</w:t>
            </w:r>
          </w:p>
        </w:tc>
      </w:tr>
    </w:tbl>
    <w:p/>
    <w:p>
      <w:r>
        <w:br w:type="page"/>
      </w:r>
    </w:p>
    <w:p>
      <w:pPr>
        <w:pStyle w:val="Heading1"/>
      </w:pPr>
      <w:r>
        <w:t>Mutual action plan example</w:t>
      </w:r>
    </w:p>
    <w:p>
      <w:r>
        <w:rPr>
          <w:b/>
        </w:rPr>
        <w:t xml:space="preserve">Example: fictional company. </w:t>
      </w:r>
      <w:r>
        <w:t>Ferncastle Analytics (seller) is helping Marlow &amp; Finch Logistics (buyer) replace spreadsheet-based sales forecasting before the buyer's new fiscal year.</w:t>
      </w:r>
    </w:p>
    <w:p>
      <w:pPr>
        <w:pStyle w:val="Heading3"/>
      </w:pPr>
      <w:r>
        <w:t>Plan header</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Shared goal</w:t>
            </w:r>
          </w:p>
        </w:tc>
        <w:tc>
          <w:tcPr>
            <w:tcW w:type="dxa" w:w="6120"/>
          </w:tcPr>
          <w:p>
            <w:r/>
            <w:r>
              <w:rPr>
                <w:sz w:val="18"/>
              </w:rPr>
              <w:t>Run the regional forecast call from one live view instead of five spreadsheets.</w:t>
            </w:r>
          </w:p>
        </w:tc>
      </w:tr>
      <w:tr>
        <w:tc>
          <w:tcPr>
            <w:tcW w:type="dxa" w:w="6120"/>
          </w:tcPr>
          <w:p>
            <w:r/>
            <w:r>
              <w:rPr>
                <w:b/>
                <w:sz w:val="18"/>
              </w:rPr>
              <w:t>Success criteria</w:t>
            </w:r>
          </w:p>
        </w:tc>
        <w:tc>
          <w:tcPr>
            <w:tcW w:type="dxa" w:w="6120"/>
          </w:tcPr>
          <w:p>
            <w:r/>
            <w:r>
              <w:rPr>
                <w:sz w:val="18"/>
              </w:rPr>
              <w:t>Two regional managers run a forecast call in the pilot without help from sales operations.</w:t>
            </w:r>
          </w:p>
        </w:tc>
      </w:tr>
      <w:tr>
        <w:tc>
          <w:tcPr>
            <w:tcW w:type="dxa" w:w="6120"/>
          </w:tcPr>
          <w:p>
            <w:r/>
            <w:r>
              <w:rPr>
                <w:b/>
                <w:sz w:val="18"/>
              </w:rPr>
              <w:t>Compelling event</w:t>
            </w:r>
          </w:p>
        </w:tc>
        <w:tc>
          <w:tcPr>
            <w:tcW w:type="dxa" w:w="6120"/>
          </w:tcPr>
          <w:p>
            <w:r/>
            <w:r>
              <w:rPr>
                <w:sz w:val="18"/>
              </w:rPr>
              <w:t>New fiscal year planning starts in week 12; the tool must be live before then.</w:t>
            </w:r>
          </w:p>
        </w:tc>
      </w:tr>
      <w:tr>
        <w:tc>
          <w:tcPr>
            <w:tcW w:type="dxa" w:w="6120"/>
          </w:tcPr>
          <w:p>
            <w:r/>
            <w:r>
              <w:rPr>
                <w:b/>
                <w:sz w:val="18"/>
              </w:rPr>
              <w:t>Buyer lead / seller lead</w:t>
            </w:r>
          </w:p>
        </w:tc>
        <w:tc>
          <w:tcPr>
            <w:tcW w:type="dxa" w:w="6120"/>
          </w:tcPr>
          <w:p>
            <w:r/>
            <w:r>
              <w:rPr>
                <w:sz w:val="18"/>
              </w:rPr>
              <w:t>Dana Okafor, Director of Revenue Operations / Sam Whitley, Account Executive</w:t>
            </w:r>
          </w:p>
        </w:tc>
      </w:tr>
    </w:tbl>
    <w:p/>
    <w:p>
      <w:pPr>
        <w:pStyle w:val="Heading3"/>
      </w:pPr>
      <w:r>
        <w:t>Plan milestones (status at week 5)</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FBE7C6"/>
          </w:tcPr>
          <w:p>
            <w:r/>
            <w:r>
              <w:rPr>
                <w:b/>
                <w:sz w:val="18"/>
              </w:rPr>
              <w:t>Phase</w:t>
            </w:r>
          </w:p>
        </w:tc>
        <w:tc>
          <w:tcPr>
            <w:tcW w:type="dxa" w:w="1749"/>
            <w:shd w:val="clear" w:color="auto" w:fill="FBE7C6"/>
          </w:tcPr>
          <w:p>
            <w:r/>
            <w:r>
              <w:rPr>
                <w:b/>
                <w:sz w:val="18"/>
              </w:rPr>
              <w:t>Milestone</w:t>
            </w:r>
          </w:p>
        </w:tc>
        <w:tc>
          <w:tcPr>
            <w:tcW w:type="dxa" w:w="1749"/>
            <w:shd w:val="clear" w:color="auto" w:fill="FBE7C6"/>
          </w:tcPr>
          <w:p>
            <w:r/>
            <w:r>
              <w:rPr>
                <w:b/>
                <w:sz w:val="18"/>
              </w:rPr>
              <w:t>Buyer owner</w:t>
            </w:r>
          </w:p>
        </w:tc>
        <w:tc>
          <w:tcPr>
            <w:tcW w:type="dxa" w:w="1749"/>
            <w:shd w:val="clear" w:color="auto" w:fill="FBE7C6"/>
          </w:tcPr>
          <w:p>
            <w:r/>
            <w:r>
              <w:rPr>
                <w:b/>
                <w:sz w:val="18"/>
              </w:rPr>
              <w:t>Seller owner</w:t>
            </w:r>
          </w:p>
        </w:tc>
        <w:tc>
          <w:tcPr>
            <w:tcW w:type="dxa" w:w="1749"/>
            <w:shd w:val="clear" w:color="auto" w:fill="FBE7C6"/>
          </w:tcPr>
          <w:p>
            <w:r/>
            <w:r>
              <w:rPr>
                <w:b/>
                <w:sz w:val="18"/>
              </w:rPr>
              <w:t>Target date</w:t>
            </w:r>
          </w:p>
        </w:tc>
        <w:tc>
          <w:tcPr>
            <w:tcW w:type="dxa" w:w="1749"/>
            <w:shd w:val="clear" w:color="auto" w:fill="FBE7C6"/>
          </w:tcPr>
          <w:p>
            <w:r/>
            <w:r>
              <w:rPr>
                <w:b/>
                <w:sz w:val="18"/>
              </w:rPr>
              <w:t>Status</w:t>
            </w:r>
          </w:p>
        </w:tc>
        <w:tc>
          <w:tcPr>
            <w:tcW w:type="dxa" w:w="1749"/>
            <w:shd w:val="clear" w:color="auto" w:fill="FBE7C6"/>
          </w:tcPr>
          <w:p>
            <w:r/>
            <w:r>
              <w:rPr>
                <w:b/>
                <w:sz w:val="18"/>
              </w:rPr>
              <w:t>Done when</w:t>
            </w:r>
          </w:p>
        </w:tc>
      </w:tr>
      <w:tr>
        <w:tc>
          <w:tcPr>
            <w:tcW w:type="dxa" w:w="1749"/>
          </w:tcPr>
          <w:p>
            <w:r/>
            <w:r>
              <w:rPr>
                <w:b/>
                <w:sz w:val="18"/>
              </w:rPr>
              <w:t>1. Align</w:t>
            </w:r>
          </w:p>
        </w:tc>
        <w:tc>
          <w:tcPr>
            <w:tcW w:type="dxa" w:w="1749"/>
          </w:tcPr>
          <w:p>
            <w:r/>
            <w:r>
              <w:rPr>
                <w:sz w:val="18"/>
              </w:rPr>
              <w:t>Goals and success criteria agreed</w:t>
            </w:r>
          </w:p>
        </w:tc>
        <w:tc>
          <w:tcPr>
            <w:tcW w:type="dxa" w:w="1749"/>
          </w:tcPr>
          <w:p>
            <w:r/>
            <w:r>
              <w:rPr>
                <w:sz w:val="18"/>
              </w:rPr>
              <w:t>Dana Okafor</w:t>
            </w:r>
          </w:p>
        </w:tc>
        <w:tc>
          <w:tcPr>
            <w:tcW w:type="dxa" w:w="1749"/>
          </w:tcPr>
          <w:p>
            <w:r/>
            <w:r>
              <w:rPr>
                <w:sz w:val="18"/>
              </w:rPr>
              <w:t>Sam Whitley</w:t>
            </w:r>
          </w:p>
        </w:tc>
        <w:tc>
          <w:tcPr>
            <w:tcW w:type="dxa" w:w="1749"/>
          </w:tcPr>
          <w:p>
            <w:r/>
            <w:r>
              <w:rPr>
                <w:sz w:val="18"/>
              </w:rPr>
              <w:t>Week 1</w:t>
            </w:r>
          </w:p>
        </w:tc>
        <w:tc>
          <w:tcPr>
            <w:tcW w:type="dxa" w:w="1749"/>
          </w:tcPr>
          <w:p>
            <w:r/>
            <w:r>
              <w:rPr>
                <w:sz w:val="18"/>
              </w:rPr>
              <w:t>Done</w:t>
            </w:r>
          </w:p>
        </w:tc>
        <w:tc>
          <w:tcPr>
            <w:tcW w:type="dxa" w:w="1749"/>
          </w:tcPr>
          <w:p>
            <w:r/>
            <w:r>
              <w:rPr>
                <w:sz w:val="18"/>
              </w:rPr>
              <w:t>Dana confirmed the recap by email</w:t>
            </w:r>
          </w:p>
        </w:tc>
      </w:tr>
      <w:tr>
        <w:tc>
          <w:tcPr>
            <w:tcW w:type="dxa" w:w="1749"/>
          </w:tcPr>
          <w:p>
            <w:r/>
            <w:r>
              <w:rPr>
                <w:b/>
                <w:sz w:val="18"/>
              </w:rPr>
              <w:t>1. Align</w:t>
            </w:r>
          </w:p>
        </w:tc>
        <w:tc>
          <w:tcPr>
            <w:tcW w:type="dxa" w:w="1749"/>
          </w:tcPr>
          <w:p>
            <w:r/>
            <w:r>
              <w:rPr>
                <w:sz w:val="18"/>
              </w:rPr>
              <w:t>Buying group identified</w:t>
            </w:r>
          </w:p>
        </w:tc>
        <w:tc>
          <w:tcPr>
            <w:tcW w:type="dxa" w:w="1749"/>
          </w:tcPr>
          <w:p>
            <w:r/>
            <w:r>
              <w:rPr>
                <w:sz w:val="18"/>
              </w:rPr>
              <w:t>Dana Okafor</w:t>
            </w:r>
          </w:p>
        </w:tc>
        <w:tc>
          <w:tcPr>
            <w:tcW w:type="dxa" w:w="1749"/>
          </w:tcPr>
          <w:p>
            <w:r/>
            <w:r>
              <w:rPr>
                <w:sz w:val="18"/>
              </w:rPr>
              <w:t>Sam Whitley</w:t>
            </w:r>
          </w:p>
        </w:tc>
        <w:tc>
          <w:tcPr>
            <w:tcW w:type="dxa" w:w="1749"/>
          </w:tcPr>
          <w:p>
            <w:r/>
            <w:r>
              <w:rPr>
                <w:sz w:val="18"/>
              </w:rPr>
              <w:t>Week 2</w:t>
            </w:r>
          </w:p>
        </w:tc>
        <w:tc>
          <w:tcPr>
            <w:tcW w:type="dxa" w:w="1749"/>
          </w:tcPr>
          <w:p>
            <w:r/>
            <w:r>
              <w:rPr>
                <w:sz w:val="18"/>
              </w:rPr>
              <w:t>Done</w:t>
            </w:r>
          </w:p>
        </w:tc>
        <w:tc>
          <w:tcPr>
            <w:tcW w:type="dxa" w:w="1749"/>
          </w:tcPr>
          <w:p>
            <w:r/>
            <w:r>
              <w:rPr>
                <w:sz w:val="18"/>
              </w:rPr>
              <w:t>Stakeholder map shared in the deal room</w:t>
            </w:r>
          </w:p>
        </w:tc>
      </w:tr>
      <w:tr>
        <w:tc>
          <w:tcPr>
            <w:tcW w:type="dxa" w:w="1749"/>
          </w:tcPr>
          <w:p>
            <w:r/>
            <w:r>
              <w:rPr>
                <w:b/>
                <w:sz w:val="18"/>
              </w:rPr>
              <w:t>2. Evaluate</w:t>
            </w:r>
          </w:p>
        </w:tc>
        <w:tc>
          <w:tcPr>
            <w:tcW w:type="dxa" w:w="1749"/>
          </w:tcPr>
          <w:p>
            <w:r/>
            <w:r>
              <w:rPr>
                <w:sz w:val="18"/>
              </w:rPr>
              <w:t>Pilot with two regions</w:t>
            </w:r>
          </w:p>
        </w:tc>
        <w:tc>
          <w:tcPr>
            <w:tcW w:type="dxa" w:w="1749"/>
          </w:tcPr>
          <w:p>
            <w:r/>
            <w:r>
              <w:rPr>
                <w:sz w:val="18"/>
              </w:rPr>
              <w:t>Luis Moreno, Regional Sales Manager</w:t>
            </w:r>
          </w:p>
        </w:tc>
        <w:tc>
          <w:tcPr>
            <w:tcW w:type="dxa" w:w="1749"/>
          </w:tcPr>
          <w:p>
            <w:r/>
            <w:r>
              <w:rPr>
                <w:sz w:val="18"/>
              </w:rPr>
              <w:t>Priya Nair, Solutions Engineer</w:t>
            </w:r>
          </w:p>
        </w:tc>
        <w:tc>
          <w:tcPr>
            <w:tcW w:type="dxa" w:w="1749"/>
          </w:tcPr>
          <w:p>
            <w:r/>
            <w:r>
              <w:rPr>
                <w:sz w:val="18"/>
              </w:rPr>
              <w:t>Weeks 3-5</w:t>
            </w:r>
          </w:p>
        </w:tc>
        <w:tc>
          <w:tcPr>
            <w:tcW w:type="dxa" w:w="1749"/>
          </w:tcPr>
          <w:p>
            <w:r/>
            <w:r>
              <w:rPr>
                <w:sz w:val="18"/>
              </w:rPr>
              <w:t>In progress</w:t>
            </w:r>
          </w:p>
        </w:tc>
        <w:tc>
          <w:tcPr>
            <w:tcW w:type="dxa" w:w="1749"/>
          </w:tcPr>
          <w:p>
            <w:r/>
            <w:r>
              <w:rPr>
                <w:sz w:val="18"/>
              </w:rPr>
              <w:t>Two forecast calls run in Ferncastle</w:t>
            </w:r>
          </w:p>
        </w:tc>
      </w:tr>
      <w:tr>
        <w:tc>
          <w:tcPr>
            <w:tcW w:type="dxa" w:w="1749"/>
          </w:tcPr>
          <w:p>
            <w:r/>
            <w:r>
              <w:rPr>
                <w:b/>
                <w:sz w:val="18"/>
              </w:rPr>
              <w:t>2. Evaluate</w:t>
            </w:r>
          </w:p>
        </w:tc>
        <w:tc>
          <w:tcPr>
            <w:tcW w:type="dxa" w:w="1749"/>
          </w:tcPr>
          <w:p>
            <w:r/>
            <w:r>
              <w:rPr>
                <w:sz w:val="18"/>
              </w:rPr>
              <w:t>Business case with the champion</w:t>
            </w:r>
          </w:p>
        </w:tc>
        <w:tc>
          <w:tcPr>
            <w:tcW w:type="dxa" w:w="1749"/>
          </w:tcPr>
          <w:p>
            <w:r/>
            <w:r>
              <w:rPr>
                <w:sz w:val="18"/>
              </w:rPr>
              <w:t>Dana Okafor</w:t>
            </w:r>
          </w:p>
        </w:tc>
        <w:tc>
          <w:tcPr>
            <w:tcW w:type="dxa" w:w="1749"/>
          </w:tcPr>
          <w:p>
            <w:r/>
            <w:r>
              <w:rPr>
                <w:sz w:val="18"/>
              </w:rPr>
              <w:t>Sam Whitley</w:t>
            </w:r>
          </w:p>
        </w:tc>
        <w:tc>
          <w:tcPr>
            <w:tcW w:type="dxa" w:w="1749"/>
          </w:tcPr>
          <w:p>
            <w:r/>
            <w:r>
              <w:rPr>
                <w:sz w:val="18"/>
              </w:rPr>
              <w:t>Week 6</w:t>
            </w:r>
          </w:p>
        </w:tc>
        <w:tc>
          <w:tcPr>
            <w:tcW w:type="dxa" w:w="1749"/>
          </w:tcPr>
          <w:p>
            <w:r/>
            <w:r>
              <w:rPr>
                <w:sz w:val="18"/>
              </w:rPr>
              <w:t>Not started</w:t>
            </w:r>
          </w:p>
        </w:tc>
        <w:tc>
          <w:tcPr>
            <w:tcW w:type="dxa" w:w="1749"/>
          </w:tcPr>
          <w:p>
            <w:r/>
            <w:r>
              <w:rPr>
                <w:sz w:val="18"/>
              </w:rPr>
              <w:t>Dana presents it to the CFO</w:t>
            </w:r>
          </w:p>
        </w:tc>
      </w:tr>
      <w:tr>
        <w:tc>
          <w:tcPr>
            <w:tcW w:type="dxa" w:w="1749"/>
          </w:tcPr>
          <w:p>
            <w:r/>
            <w:r>
              <w:rPr>
                <w:b/>
                <w:sz w:val="18"/>
              </w:rPr>
              <w:t>3. Validate</w:t>
            </w:r>
          </w:p>
        </w:tc>
        <w:tc>
          <w:tcPr>
            <w:tcW w:type="dxa" w:w="1749"/>
          </w:tcPr>
          <w:p>
            <w:r/>
            <w:r>
              <w:rPr>
                <w:sz w:val="18"/>
              </w:rPr>
              <w:t>Security review</w:t>
            </w:r>
          </w:p>
        </w:tc>
        <w:tc>
          <w:tcPr>
            <w:tcW w:type="dxa" w:w="1749"/>
          </w:tcPr>
          <w:p>
            <w:r/>
            <w:r>
              <w:rPr>
                <w:sz w:val="18"/>
              </w:rPr>
              <w:t>Grace Lindqvist, IT Security Manager</w:t>
            </w:r>
          </w:p>
        </w:tc>
        <w:tc>
          <w:tcPr>
            <w:tcW w:type="dxa" w:w="1749"/>
          </w:tcPr>
          <w:p>
            <w:r/>
            <w:r>
              <w:rPr>
                <w:sz w:val="18"/>
              </w:rPr>
              <w:t>Priya Nair</w:t>
            </w:r>
          </w:p>
        </w:tc>
        <w:tc>
          <w:tcPr>
            <w:tcW w:type="dxa" w:w="1749"/>
          </w:tcPr>
          <w:p>
            <w:r/>
            <w:r>
              <w:rPr>
                <w:sz w:val="18"/>
              </w:rPr>
              <w:t>Week 6</w:t>
            </w:r>
          </w:p>
        </w:tc>
        <w:tc>
          <w:tcPr>
            <w:tcW w:type="dxa" w:w="1749"/>
          </w:tcPr>
          <w:p>
            <w:r/>
            <w:r>
              <w:rPr>
                <w:sz w:val="18"/>
              </w:rPr>
              <w:t>At risk</w:t>
            </w:r>
          </w:p>
        </w:tc>
        <w:tc>
          <w:tcPr>
            <w:tcW w:type="dxa" w:w="1749"/>
          </w:tcPr>
          <w:p>
            <w:r/>
            <w:r>
              <w:rPr>
                <w:sz w:val="18"/>
              </w:rPr>
              <w:t>Questionnaire signed off (waiting on SSO details)</w:t>
            </w:r>
          </w:p>
        </w:tc>
      </w:tr>
      <w:tr>
        <w:tc>
          <w:tcPr>
            <w:tcW w:type="dxa" w:w="1749"/>
          </w:tcPr>
          <w:p>
            <w:r/>
            <w:r>
              <w:rPr>
                <w:b/>
                <w:sz w:val="18"/>
              </w:rPr>
              <w:t>3. Validate</w:t>
            </w:r>
          </w:p>
        </w:tc>
        <w:tc>
          <w:tcPr>
            <w:tcW w:type="dxa" w:w="1749"/>
          </w:tcPr>
          <w:p>
            <w:r/>
            <w:r>
              <w:rPr>
                <w:sz w:val="18"/>
              </w:rPr>
              <w:t>CFO meeting</w:t>
            </w:r>
          </w:p>
        </w:tc>
        <w:tc>
          <w:tcPr>
            <w:tcW w:type="dxa" w:w="1749"/>
          </w:tcPr>
          <w:p>
            <w:r/>
            <w:r>
              <w:rPr>
                <w:sz w:val="18"/>
              </w:rPr>
              <w:t>Martin Hale, CFO</w:t>
            </w:r>
          </w:p>
        </w:tc>
        <w:tc>
          <w:tcPr>
            <w:tcW w:type="dxa" w:w="1749"/>
          </w:tcPr>
          <w:p>
            <w:r/>
            <w:r>
              <w:rPr>
                <w:sz w:val="18"/>
              </w:rPr>
              <w:t>Ferncastle VP Sales</w:t>
            </w:r>
          </w:p>
        </w:tc>
        <w:tc>
          <w:tcPr>
            <w:tcW w:type="dxa" w:w="1749"/>
          </w:tcPr>
          <w:p>
            <w:r/>
            <w:r>
              <w:rPr>
                <w:sz w:val="18"/>
              </w:rPr>
              <w:t>Week 7</w:t>
            </w:r>
          </w:p>
        </w:tc>
        <w:tc>
          <w:tcPr>
            <w:tcW w:type="dxa" w:w="1749"/>
          </w:tcPr>
          <w:p>
            <w:r/>
            <w:r>
              <w:rPr>
                <w:sz w:val="18"/>
              </w:rPr>
              <w:t>Not started</w:t>
            </w:r>
          </w:p>
        </w:tc>
        <w:tc>
          <w:tcPr>
            <w:tcW w:type="dxa" w:w="1749"/>
          </w:tcPr>
          <w:p>
            <w:r/>
            <w:r>
              <w:rPr>
                <w:sz w:val="18"/>
              </w:rPr>
              <w:t>CFO confirms budget for next fiscal year</w:t>
            </w:r>
          </w:p>
        </w:tc>
      </w:tr>
      <w:tr>
        <w:tc>
          <w:tcPr>
            <w:tcW w:type="dxa" w:w="1749"/>
          </w:tcPr>
          <w:p>
            <w:r/>
            <w:r>
              <w:rPr>
                <w:b/>
                <w:sz w:val="18"/>
              </w:rPr>
              <w:t>4. Decide</w:t>
            </w:r>
          </w:p>
        </w:tc>
        <w:tc>
          <w:tcPr>
            <w:tcW w:type="dxa" w:w="1749"/>
          </w:tcPr>
          <w:p>
            <w:r/>
            <w:r>
              <w:rPr>
                <w:sz w:val="18"/>
              </w:rPr>
              <w:t>Procurement and legal</w:t>
            </w:r>
          </w:p>
        </w:tc>
        <w:tc>
          <w:tcPr>
            <w:tcW w:type="dxa" w:w="1749"/>
          </w:tcPr>
          <w:p>
            <w:r/>
            <w:r>
              <w:rPr>
                <w:sz w:val="18"/>
              </w:rPr>
              <w:t>Aisha Bello, Procurement Lead</w:t>
            </w:r>
          </w:p>
        </w:tc>
        <w:tc>
          <w:tcPr>
            <w:tcW w:type="dxa" w:w="1749"/>
          </w:tcPr>
          <w:p>
            <w:r/>
            <w:r>
              <w:rPr>
                <w:sz w:val="18"/>
              </w:rPr>
              <w:t>Sam Whitley</w:t>
            </w:r>
          </w:p>
        </w:tc>
        <w:tc>
          <w:tcPr>
            <w:tcW w:type="dxa" w:w="1749"/>
          </w:tcPr>
          <w:p>
            <w:r/>
            <w:r>
              <w:rPr>
                <w:sz w:val="18"/>
              </w:rPr>
              <w:t>Weeks 8-9</w:t>
            </w:r>
          </w:p>
        </w:tc>
        <w:tc>
          <w:tcPr>
            <w:tcW w:type="dxa" w:w="1749"/>
          </w:tcPr>
          <w:p>
            <w:r/>
            <w:r>
              <w:rPr>
                <w:sz w:val="18"/>
              </w:rPr>
              <w:t>Not started</w:t>
            </w:r>
          </w:p>
        </w:tc>
        <w:tc>
          <w:tcPr>
            <w:tcW w:type="dxa" w:w="1749"/>
          </w:tcPr>
          <w:p>
            <w:r/>
            <w:r>
              <w:rPr>
                <w:sz w:val="18"/>
              </w:rPr>
              <w:t>Terms agreed and vendor onboarded</w:t>
            </w:r>
          </w:p>
        </w:tc>
      </w:tr>
      <w:tr>
        <w:tc>
          <w:tcPr>
            <w:tcW w:type="dxa" w:w="1749"/>
          </w:tcPr>
          <w:p>
            <w:r/>
            <w:r>
              <w:rPr>
                <w:b/>
                <w:sz w:val="18"/>
              </w:rPr>
              <w:t>4. Decide</w:t>
            </w:r>
          </w:p>
        </w:tc>
        <w:tc>
          <w:tcPr>
            <w:tcW w:type="dxa" w:w="1749"/>
          </w:tcPr>
          <w:p>
            <w:r/>
            <w:r>
              <w:rPr>
                <w:sz w:val="18"/>
              </w:rPr>
              <w:t>Signature</w:t>
            </w:r>
          </w:p>
        </w:tc>
        <w:tc>
          <w:tcPr>
            <w:tcW w:type="dxa" w:w="1749"/>
          </w:tcPr>
          <w:p>
            <w:r/>
            <w:r>
              <w:rPr>
                <w:sz w:val="18"/>
              </w:rPr>
              <w:t>Martin Hale</w:t>
            </w:r>
          </w:p>
        </w:tc>
        <w:tc>
          <w:tcPr>
            <w:tcW w:type="dxa" w:w="1749"/>
          </w:tcPr>
          <w:p>
            <w:r/>
            <w:r>
              <w:rPr>
                <w:sz w:val="18"/>
              </w:rPr>
              <w:t>Sam Whitley</w:t>
            </w:r>
          </w:p>
        </w:tc>
        <w:tc>
          <w:tcPr>
            <w:tcW w:type="dxa" w:w="1749"/>
          </w:tcPr>
          <w:p>
            <w:r/>
            <w:r>
              <w:rPr>
                <w:sz w:val="18"/>
              </w:rPr>
              <w:t>Week 10</w:t>
            </w:r>
          </w:p>
        </w:tc>
        <w:tc>
          <w:tcPr>
            <w:tcW w:type="dxa" w:w="1749"/>
          </w:tcPr>
          <w:p>
            <w:r/>
            <w:r>
              <w:rPr>
                <w:sz w:val="18"/>
              </w:rPr>
              <w:t>Not started</w:t>
            </w:r>
          </w:p>
        </w:tc>
        <w:tc>
          <w:tcPr>
            <w:tcW w:type="dxa" w:w="1749"/>
          </w:tcPr>
          <w:p>
            <w:r/>
            <w:r>
              <w:rPr>
                <w:sz w:val="18"/>
              </w:rPr>
              <w:t>Contract signed</w:t>
            </w:r>
          </w:p>
        </w:tc>
      </w:tr>
      <w:tr>
        <w:tc>
          <w:tcPr>
            <w:tcW w:type="dxa" w:w="1749"/>
          </w:tcPr>
          <w:p>
            <w:r/>
            <w:r>
              <w:rPr>
                <w:b/>
                <w:sz w:val="18"/>
              </w:rPr>
              <w:t>5. Launch</w:t>
            </w:r>
          </w:p>
        </w:tc>
        <w:tc>
          <w:tcPr>
            <w:tcW w:type="dxa" w:w="1749"/>
          </w:tcPr>
          <w:p>
            <w:r/>
            <w:r>
              <w:rPr>
                <w:sz w:val="18"/>
              </w:rPr>
              <w:t>Kickoff and rollout</w:t>
            </w:r>
          </w:p>
        </w:tc>
        <w:tc>
          <w:tcPr>
            <w:tcW w:type="dxa" w:w="1749"/>
          </w:tcPr>
          <w:p>
            <w:r/>
            <w:r>
              <w:rPr>
                <w:sz w:val="18"/>
              </w:rPr>
              <w:t>Dana Okafor</w:t>
            </w:r>
          </w:p>
        </w:tc>
        <w:tc>
          <w:tcPr>
            <w:tcW w:type="dxa" w:w="1749"/>
          </w:tcPr>
          <w:p>
            <w:r/>
            <w:r>
              <w:rPr>
                <w:sz w:val="18"/>
              </w:rPr>
              <w:t>Ferncastle onboarding lead</w:t>
            </w:r>
          </w:p>
        </w:tc>
        <w:tc>
          <w:tcPr>
            <w:tcW w:type="dxa" w:w="1749"/>
          </w:tcPr>
          <w:p>
            <w:r/>
            <w:r>
              <w:rPr>
                <w:sz w:val="18"/>
              </w:rPr>
              <w:t>Week 11</w:t>
            </w:r>
          </w:p>
        </w:tc>
        <w:tc>
          <w:tcPr>
            <w:tcW w:type="dxa" w:w="1749"/>
          </w:tcPr>
          <w:p>
            <w:r/>
            <w:r>
              <w:rPr>
                <w:sz w:val="18"/>
              </w:rPr>
              <w:t>Not started</w:t>
            </w:r>
          </w:p>
        </w:tc>
        <w:tc>
          <w:tcPr>
            <w:tcW w:type="dxa" w:w="1749"/>
          </w:tcPr>
          <w:p>
            <w:r/>
            <w:r>
              <w:rPr>
                <w:sz w:val="18"/>
              </w:rPr>
              <w:t>All regions trained before planning starts</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A seller plan with a mutual label: </w:t>
      </w:r>
      <w:r>
        <w:t>If only the seller has tasks, the buyer has not committed to anything. Every phase needs buyer-owned steps.</w:t>
      </w:r>
    </w:p>
    <w:p>
      <w:pPr>
        <w:pStyle w:val="ListBullet"/>
      </w:pPr>
      <w:r>
        <w:rPr>
          <w:b/>
        </w:rPr>
        <w:t xml:space="preserve">Introducing it too early: </w:t>
      </w:r>
      <w:r>
        <w:t>Before the buyer agrees there is a problem worth solving, a plan to close feels like pressure. Earn it in discovery first.</w:t>
      </w:r>
    </w:p>
    <w:p>
      <w:pPr>
        <w:pStyle w:val="ListBullet"/>
      </w:pPr>
      <w:r>
        <w:rPr>
          <w:b/>
        </w:rPr>
        <w:t xml:space="preserve">Stopping at signature: </w:t>
      </w:r>
      <w:r>
        <w:t>Buyers care about go-live and results, not your quarter. Ending the plan at first value makes it about their outcome.</w:t>
      </w:r>
    </w:p>
    <w:p>
      <w:pPr>
        <w:pStyle w:val="ListBullet"/>
      </w:pPr>
      <w:r>
        <w:rPr>
          <w:b/>
        </w:rPr>
        <w:t xml:space="preserve">Turning it into a project plan: </w:t>
      </w:r>
      <w:r>
        <w:t>Fifty rows of tasks will not be read. Keep the plan to the milestones that move the decision, roughly one screen.</w:t>
      </w:r>
    </w:p>
    <w:p>
      <w:pPr>
        <w:pStyle w:val="ListBullet"/>
      </w:pPr>
      <w:r>
        <w:rPr>
          <w:b/>
        </w:rPr>
        <w:t xml:space="preserve">Hiding legal and procurement until late: </w:t>
      </w:r>
      <w:r>
        <w:t>Contract, data-protection and vendor-onboarding steps often take longer than the evaluation. Put them on the plan from the first draft.</w:t>
      </w:r>
    </w:p>
    <w:p>
      <w:pPr>
        <w:pStyle w:val="ListBullet"/>
      </w:pPr>
      <w:r>
        <w:rPr>
          <w:b/>
        </w:rPr>
        <w:t xml:space="preserve">Emailing static copies: </w:t>
      </w:r>
      <w:r>
        <w:t>Attachments create competing versions. Keep one live plan in a shared space and link to it.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https://www.revspire.io/resources/templates/mutual-action-plan-template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action plan template</dc:title>
  <dc:subject/>
  <dc:creator>Revspire</dc:creator>
  <cp:keywords/>
  <dc:description>generated by python-docx</dc:description>
  <cp:lastModifiedBy>Revspire</cp:lastModifiedBy>
  <cp:revision>1</cp:revision>
  <dcterms:created xsi:type="dcterms:W3CDTF">2026-10-15T00:00:00Z</dcterms:created>
  <dcterms:modified xsi:type="dcterms:W3CDTF">2026-10-15T00:00:00Z</dcterms:modified>
  <cp:category/>
</cp:coreProperties>
</file>