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enablement dashboard template</w:t>
      </w:r>
    </w:p>
    <w:p>
      <w:r>
        <w:t>A sales enablement dashboard template is a reporting workbook for the enablement function: a KPI dictionary that fixes each metric's definition, formula and source system, a quarterly dashboard against targets, and a map from each programme's leading indicator to the outcome it should move, so impact can be shown rather than asserted.</w:t>
      </w:r>
    </w:p>
    <w:p>
      <w:r>
        <w:rPr>
          <w:sz w:val="16"/>
        </w:rPr>
        <w:t>Last updated 2026-10-26. Online version: https://www.revspire.io/resources/templates/sales-enablement-dashboard-template</w:t>
      </w:r>
    </w:p>
    <w:p>
      <w:pPr>
        <w:pStyle w:val="Heading1"/>
      </w:pPr>
      <w:r>
        <w:t>How to use this template</w:t>
      </w:r>
    </w:p>
    <w:p>
      <w:pPr>
        <w:pStyle w:val="ListNumber"/>
      </w:pPr>
      <w:r>
        <w:rPr>
          <w:b/>
        </w:rPr>
        <w:t xml:space="preserve">Write the dictionary before building any chart: </w:t>
      </w:r>
      <w:r>
        <w:t>Agree each metric's definition, formula, source and owner with RevOps and sales leadership first. A number that two people can calculate differently will be argued about every quarter.</w:t>
      </w:r>
    </w:p>
    <w:p>
      <w:pPr>
        <w:pStyle w:val="ListNumber"/>
      </w:pPr>
      <w:r>
        <w:rPr>
          <w:b/>
        </w:rPr>
        <w:t xml:space="preserve">Pick six to eight metrics, not twenty: </w:t>
      </w:r>
      <w:r>
        <w:t>A dashboard leadership reads in five minutes beats a complete one nobody opens. Keep one metric per programme on the dashboard and the rest in the scorecard.</w:t>
      </w:r>
    </w:p>
    <w:p>
      <w:pPr>
        <w:pStyle w:val="ListNumber"/>
      </w:pPr>
      <w:r>
        <w:rPr>
          <w:b/>
        </w:rPr>
        <w:t xml:space="preserve">Pair every programme with a leading indicator: </w:t>
      </w:r>
      <w:r>
        <w:t>Ramp and win rate move slowly. Certification, search success and coaching coverage move in weeks. The map block forces a leading indicator for each programme, so you can see a programme failing before the quarter does.</w:t>
      </w:r>
    </w:p>
    <w:p>
      <w:pPr>
        <w:pStyle w:val="ListNumber"/>
      </w:pPr>
      <w:r>
        <w:rPr>
          <w:b/>
        </w:rPr>
        <w:t xml:space="preserve">Record a baseline before launching anything: </w:t>
      </w:r>
      <w:r>
        <w:t>A programme measured only after launch cannot show change. Pull last quarter's values into the dashboard before the first programme ships.</w:t>
      </w:r>
    </w:p>
    <w:p>
      <w:pPr>
        <w:pStyle w:val="ListNumber"/>
      </w:pPr>
      <w:r>
        <w:rPr>
          <w:b/>
        </w:rPr>
        <w:t xml:space="preserve">Write the comment column every time: </w:t>
      </w:r>
      <w:r>
        <w:t>A number without a reason invites the wrong conclusion. One line per metric on why it moved is what turns the dashboard from a report into a decision.</w:t>
      </w:r>
    </w:p>
    <w:p>
      <w:pPr>
        <w:pStyle w:val="ListNumber"/>
      </w:pPr>
      <w:r>
        <w:rPr>
          <w:b/>
        </w:rPr>
        <w:t xml:space="preserve">Say when a number is not ready: </w:t>
      </w:r>
      <w:r>
        <w:t>If a metric has too little data to report honestly, write that in the comment rather than showing a figure. Credibility with finance is built on the numbers you declined to show.</w:t>
      </w:r>
    </w:p>
    <w:p>
      <w:pPr>
        <w:pStyle w:val="Heading1"/>
      </w:pPr>
      <w:r>
        <w:t>The template</w:t>
      </w:r>
    </w:p>
    <w:p>
      <w:r>
        <w:t>Five blocks. Fill the dictionary first and get it agreed, because every other block depends on it. The Excel version holds each block on its own sheet.</w:t>
      </w:r>
    </w:p>
    <w:p>
      <w:pPr>
        <w:pStyle w:val="Heading3"/>
      </w:pPr>
      <w:r>
        <w:t>Dashboard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Audience</w:t>
            </w:r>
          </w:p>
        </w:tc>
        <w:tc>
          <w:tcPr>
            <w:tcW w:type="dxa" w:w="4080"/>
          </w:tcPr>
          <w:p>
            <w:r/>
            <w:r>
              <w:rPr>
                <w:sz w:val="18"/>
              </w:rPr>
              <w:t>Who the dashboard is for. One audience per dashboard keeps it short.</w:t>
            </w:r>
          </w:p>
        </w:tc>
        <w:tc>
          <w:tcPr>
            <w:tcW w:type="dxa" w:w="4080"/>
          </w:tcPr>
          <w:p>
            <w:r/>
            <w:r>
              <w:rPr>
                <w:sz w:val="18"/>
              </w:rPr>
            </w:r>
          </w:p>
        </w:tc>
      </w:tr>
      <w:tr>
        <w:tc>
          <w:tcPr>
            <w:tcW w:type="dxa" w:w="4080"/>
          </w:tcPr>
          <w:p>
            <w:r/>
            <w:r>
              <w:rPr>
                <w:b/>
                <w:sz w:val="18"/>
              </w:rPr>
              <w:t>Reporting period</w:t>
            </w:r>
          </w:p>
        </w:tc>
        <w:tc>
          <w:tcPr>
            <w:tcW w:type="dxa" w:w="4080"/>
          </w:tcPr>
          <w:p>
            <w:r/>
            <w:r>
              <w:rPr>
                <w:sz w:val="18"/>
              </w:rPr>
              <w:t>The month or quarter shown, and the period it is compared with.</w:t>
            </w:r>
          </w:p>
        </w:tc>
        <w:tc>
          <w:tcPr>
            <w:tcW w:type="dxa" w:w="4080"/>
          </w:tcPr>
          <w:p>
            <w:r/>
            <w:r>
              <w:rPr>
                <w:sz w:val="18"/>
              </w:rPr>
            </w:r>
          </w:p>
        </w:tc>
      </w:tr>
      <w:tr>
        <w:tc>
          <w:tcPr>
            <w:tcW w:type="dxa" w:w="4080"/>
          </w:tcPr>
          <w:p>
            <w:r/>
            <w:r>
              <w:rPr>
                <w:b/>
                <w:sz w:val="18"/>
              </w:rPr>
              <w:t>Data cut-off</w:t>
            </w:r>
          </w:p>
        </w:tc>
        <w:tc>
          <w:tcPr>
            <w:tcW w:type="dxa" w:w="4080"/>
          </w:tcPr>
          <w:p>
            <w:r/>
            <w:r>
              <w:rPr>
                <w:sz w:val="18"/>
              </w:rPr>
              <w:t>The date the numbers were pulled, so late-closing deals do not cause disputes.</w:t>
            </w:r>
          </w:p>
        </w:tc>
        <w:tc>
          <w:tcPr>
            <w:tcW w:type="dxa" w:w="4080"/>
          </w:tcPr>
          <w:p>
            <w:r/>
            <w:r>
              <w:rPr>
                <w:sz w:val="18"/>
              </w:rPr>
            </w:r>
          </w:p>
        </w:tc>
      </w:tr>
      <w:tr>
        <w:tc>
          <w:tcPr>
            <w:tcW w:type="dxa" w:w="4080"/>
          </w:tcPr>
          <w:p>
            <w:r/>
            <w:r>
              <w:rPr>
                <w:b/>
                <w:sz w:val="18"/>
              </w:rPr>
              <w:t>Dictionary version</w:t>
            </w:r>
          </w:p>
        </w:tc>
        <w:tc>
          <w:tcPr>
            <w:tcW w:type="dxa" w:w="4080"/>
          </w:tcPr>
          <w:p>
            <w:r/>
            <w:r>
              <w:rPr>
                <w:sz w:val="18"/>
              </w:rPr>
              <w:t>Which version of the KPI dictionary the numbers follow.</w:t>
            </w:r>
          </w:p>
        </w:tc>
        <w:tc>
          <w:tcPr>
            <w:tcW w:type="dxa" w:w="4080"/>
          </w:tcPr>
          <w:p>
            <w:r/>
            <w:r>
              <w:rPr>
                <w:sz w:val="18"/>
              </w:rPr>
            </w:r>
          </w:p>
        </w:tc>
      </w:tr>
      <w:tr>
        <w:tc>
          <w:tcPr>
            <w:tcW w:type="dxa" w:w="4080"/>
          </w:tcPr>
          <w:p>
            <w:r/>
            <w:r>
              <w:rPr>
                <w:b/>
                <w:sz w:val="18"/>
              </w:rPr>
              <w:t>Owner</w:t>
            </w:r>
          </w:p>
        </w:tc>
        <w:tc>
          <w:tcPr>
            <w:tcW w:type="dxa" w:w="4080"/>
          </w:tcPr>
          <w:p>
            <w:r/>
            <w:r>
              <w:rPr>
                <w:sz w:val="18"/>
              </w:rPr>
              <w:t>Who produces the dashboard and answers questions about it.</w:t>
            </w:r>
          </w:p>
        </w:tc>
        <w:tc>
          <w:tcPr>
            <w:tcW w:type="dxa" w:w="4080"/>
          </w:tcPr>
          <w:p>
            <w:r/>
            <w:r>
              <w:rPr>
                <w:sz w:val="18"/>
              </w:rPr>
            </w:r>
          </w:p>
        </w:tc>
      </w:tr>
    </w:tbl>
    <w:p/>
    <w:p>
      <w:pPr>
        <w:pStyle w:val="Heading3"/>
      </w:pPr>
      <w:r>
        <w:t>KPI dictionary</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Metric</w:t>
            </w:r>
          </w:p>
        </w:tc>
        <w:tc>
          <w:tcPr>
            <w:tcW w:type="dxa" w:w="2448"/>
            <w:shd w:val="clear" w:color="auto" w:fill="DCE6F5"/>
          </w:tcPr>
          <w:p>
            <w:r/>
            <w:r>
              <w:rPr>
                <w:b/>
                <w:sz w:val="18"/>
              </w:rPr>
              <w:t>Definition</w:t>
            </w:r>
          </w:p>
        </w:tc>
        <w:tc>
          <w:tcPr>
            <w:tcW w:type="dxa" w:w="2448"/>
            <w:shd w:val="clear" w:color="auto" w:fill="DCE6F5"/>
          </w:tcPr>
          <w:p>
            <w:r/>
            <w:r>
              <w:rPr>
                <w:b/>
                <w:sz w:val="18"/>
              </w:rPr>
              <w:t>Formula</w:t>
            </w:r>
          </w:p>
        </w:tc>
        <w:tc>
          <w:tcPr>
            <w:tcW w:type="dxa" w:w="2448"/>
            <w:shd w:val="clear" w:color="auto" w:fill="DCE6F5"/>
          </w:tcPr>
          <w:p>
            <w:r/>
            <w:r>
              <w:rPr>
                <w:b/>
                <w:sz w:val="18"/>
              </w:rPr>
              <w:t>Source system</w:t>
            </w:r>
          </w:p>
        </w:tc>
        <w:tc>
          <w:tcPr>
            <w:tcW w:type="dxa" w:w="2448"/>
            <w:shd w:val="clear" w:color="auto" w:fill="DCE6F5"/>
          </w:tcPr>
          <w:p>
            <w:r/>
            <w:r>
              <w:rPr>
                <w:b/>
                <w:sz w:val="18"/>
              </w:rPr>
              <w:t>Owner</w:t>
            </w:r>
          </w:p>
        </w:tc>
      </w:tr>
      <w:tr>
        <w:tc>
          <w:tcPr>
            <w:tcW w:type="dxa" w:w="2448"/>
          </w:tcPr>
          <w:p>
            <w:r/>
            <w:r>
              <w:rPr>
                <w:b/>
                <w:sz w:val="18"/>
              </w:rPr>
              <w:t>Ramp time to first deal</w:t>
            </w:r>
          </w:p>
        </w:tc>
        <w:tc>
          <w:tcPr>
            <w:tcW w:type="dxa" w:w="2448"/>
          </w:tcPr>
          <w:p>
            <w:r/>
            <w:r>
              <w:rPr>
                <w:sz w:val="18"/>
              </w:rPr>
              <w:t>Days from a seller's start date to their first closed-won deal</w:t>
            </w:r>
          </w:p>
        </w:tc>
        <w:tc>
          <w:tcPr>
            <w:tcW w:type="dxa" w:w="2448"/>
          </w:tcPr>
          <w:p>
            <w:r/>
            <w:r>
              <w:rPr>
                <w:sz w:val="18"/>
              </w:rPr>
              <w:t>Median of first close date minus start date, by hiring cohort</w:t>
            </w:r>
          </w:p>
        </w:tc>
        <w:tc>
          <w:tcPr>
            <w:tcW w:type="dxa" w:w="2448"/>
          </w:tcPr>
          <w:p>
            <w:r/>
            <w:r>
              <w:rPr>
                <w:sz w:val="18"/>
              </w:rPr>
              <w:t>CRM and HR system</w:t>
            </w:r>
          </w:p>
        </w:tc>
        <w:tc>
          <w:tcPr>
            <w:tcW w:type="dxa" w:w="2448"/>
          </w:tcPr>
          <w:p>
            <w:r/>
            <w:r>
              <w:rPr>
                <w:sz w:val="18"/>
              </w:rPr>
              <w:t>Enablement with RevOps</w:t>
            </w:r>
          </w:p>
        </w:tc>
      </w:tr>
      <w:tr>
        <w:tc>
          <w:tcPr>
            <w:tcW w:type="dxa" w:w="2448"/>
          </w:tcPr>
          <w:p>
            <w:r/>
            <w:r>
              <w:rPr>
                <w:b/>
                <w:sz w:val="18"/>
              </w:rPr>
              <w:t>Certification pass rate</w:t>
            </w:r>
          </w:p>
        </w:tc>
        <w:tc>
          <w:tcPr>
            <w:tcW w:type="dxa" w:w="2448"/>
          </w:tcPr>
          <w:p>
            <w:r/>
            <w:r>
              <w:rPr>
                <w:sz w:val="18"/>
              </w:rPr>
              <w:t>Share of sellers who pass a priority certification on the first attempt</w:t>
            </w:r>
          </w:p>
        </w:tc>
        <w:tc>
          <w:tcPr>
            <w:tcW w:type="dxa" w:w="2448"/>
          </w:tcPr>
          <w:p>
            <w:r/>
            <w:r>
              <w:rPr>
                <w:sz w:val="18"/>
              </w:rPr>
              <w:t>First-attempt passes divided by sellers assessed</w:t>
            </w:r>
          </w:p>
        </w:tc>
        <w:tc>
          <w:tcPr>
            <w:tcW w:type="dxa" w:w="2448"/>
          </w:tcPr>
          <w:p>
            <w:r/>
            <w:r>
              <w:rPr>
                <w:sz w:val="18"/>
              </w:rPr>
              <w:t>Training or practice tool</w:t>
            </w:r>
          </w:p>
        </w:tc>
        <w:tc>
          <w:tcPr>
            <w:tcW w:type="dxa" w:w="2448"/>
          </w:tcPr>
          <w:p>
            <w:r/>
            <w:r>
              <w:rPr>
                <w:sz w:val="18"/>
              </w:rPr>
              <w:t>Enablement</w:t>
            </w:r>
          </w:p>
        </w:tc>
      </w:tr>
      <w:tr>
        <w:tc>
          <w:tcPr>
            <w:tcW w:type="dxa" w:w="2448"/>
          </w:tcPr>
          <w:p>
            <w:r/>
            <w:r>
              <w:rPr>
                <w:b/>
                <w:sz w:val="18"/>
              </w:rPr>
              <w:t>Content usage</w:t>
            </w:r>
          </w:p>
        </w:tc>
        <w:tc>
          <w:tcPr>
            <w:tcW w:type="dxa" w:w="2448"/>
          </w:tcPr>
          <w:p>
            <w:r/>
            <w:r>
              <w:rPr>
                <w:sz w:val="18"/>
              </w:rPr>
              <w:t>Share of active approved assets used by sellers in the last 90 days</w:t>
            </w:r>
          </w:p>
        </w:tc>
        <w:tc>
          <w:tcPr>
            <w:tcW w:type="dxa" w:w="2448"/>
          </w:tcPr>
          <w:p>
            <w:r/>
            <w:r>
              <w:rPr>
                <w:sz w:val="18"/>
              </w:rPr>
              <w:t>Assets opened or shared at least once, divided by active assets</w:t>
            </w:r>
          </w:p>
        </w:tc>
        <w:tc>
          <w:tcPr>
            <w:tcW w:type="dxa" w:w="2448"/>
          </w:tcPr>
          <w:p>
            <w:r/>
            <w:r>
              <w:rPr>
                <w:sz w:val="18"/>
              </w:rPr>
              <w:t>Content platform</w:t>
            </w:r>
          </w:p>
        </w:tc>
        <w:tc>
          <w:tcPr>
            <w:tcW w:type="dxa" w:w="2448"/>
          </w:tcPr>
          <w:p>
            <w:r/>
            <w:r>
              <w:rPr>
                <w:sz w:val="18"/>
              </w:rPr>
              <w:t>Enablement</w:t>
            </w:r>
          </w:p>
        </w:tc>
      </w:tr>
      <w:tr>
        <w:tc>
          <w:tcPr>
            <w:tcW w:type="dxa" w:w="2448"/>
          </w:tcPr>
          <w:p>
            <w:r/>
            <w:r>
              <w:rPr>
                <w:b/>
                <w:sz w:val="18"/>
              </w:rPr>
              <w:t>Content search success</w:t>
            </w:r>
          </w:p>
        </w:tc>
        <w:tc>
          <w:tcPr>
            <w:tcW w:type="dxa" w:w="2448"/>
          </w:tcPr>
          <w:p>
            <w:r/>
            <w:r>
              <w:rPr>
                <w:sz w:val="18"/>
              </w:rPr>
              <w:t>Share of searches that end with an approved asset being opened</w:t>
            </w:r>
          </w:p>
        </w:tc>
        <w:tc>
          <w:tcPr>
            <w:tcW w:type="dxa" w:w="2448"/>
          </w:tcPr>
          <w:p>
            <w:r/>
            <w:r>
              <w:rPr>
                <w:sz w:val="18"/>
              </w:rPr>
              <w:t>Searches followed by an open, divided by all searches</w:t>
            </w:r>
          </w:p>
        </w:tc>
        <w:tc>
          <w:tcPr>
            <w:tcW w:type="dxa" w:w="2448"/>
          </w:tcPr>
          <w:p>
            <w:r/>
            <w:r>
              <w:rPr>
                <w:sz w:val="18"/>
              </w:rPr>
              <w:t>Content platform</w:t>
            </w:r>
          </w:p>
        </w:tc>
        <w:tc>
          <w:tcPr>
            <w:tcW w:type="dxa" w:w="2448"/>
          </w:tcPr>
          <w:p>
            <w:r/>
            <w:r>
              <w:rPr>
                <w:sz w:val="18"/>
              </w:rPr>
              <w:t>Enablement</w:t>
            </w:r>
          </w:p>
        </w:tc>
      </w:tr>
      <w:tr>
        <w:tc>
          <w:tcPr>
            <w:tcW w:type="dxa" w:w="2448"/>
          </w:tcPr>
          <w:p>
            <w:r/>
            <w:r>
              <w:rPr>
                <w:b/>
                <w:sz w:val="18"/>
              </w:rPr>
              <w:t>Buyer engagement</w:t>
            </w:r>
          </w:p>
        </w:tc>
        <w:tc>
          <w:tcPr>
            <w:tcW w:type="dxa" w:w="2448"/>
          </w:tcPr>
          <w:p>
            <w:r/>
            <w:r>
              <w:rPr>
                <w:sz w:val="18"/>
              </w:rPr>
              <w:t>Share of open deals where a buyer viewed content the seller shared</w:t>
            </w:r>
          </w:p>
        </w:tc>
        <w:tc>
          <w:tcPr>
            <w:tcW w:type="dxa" w:w="2448"/>
          </w:tcPr>
          <w:p>
            <w:r/>
            <w:r>
              <w:rPr>
                <w:sz w:val="18"/>
              </w:rPr>
              <w:t>Deals with at least one buyer view, divided by open deals</w:t>
            </w:r>
          </w:p>
        </w:tc>
        <w:tc>
          <w:tcPr>
            <w:tcW w:type="dxa" w:w="2448"/>
          </w:tcPr>
          <w:p>
            <w:r/>
            <w:r>
              <w:rPr>
                <w:sz w:val="18"/>
              </w:rPr>
              <w:t>Content platform or sales room, joined to CRM</w:t>
            </w:r>
          </w:p>
        </w:tc>
        <w:tc>
          <w:tcPr>
            <w:tcW w:type="dxa" w:w="2448"/>
          </w:tcPr>
          <w:p>
            <w:r/>
            <w:r>
              <w:rPr>
                <w:sz w:val="18"/>
              </w:rPr>
              <w:t>RevOps</w:t>
            </w:r>
          </w:p>
        </w:tc>
      </w:tr>
      <w:tr>
        <w:tc>
          <w:tcPr>
            <w:tcW w:type="dxa" w:w="2448"/>
          </w:tcPr>
          <w:p>
            <w:r/>
            <w:r>
              <w:rPr>
                <w:b/>
                <w:sz w:val="18"/>
              </w:rPr>
              <w:t>Coaching coverage</w:t>
            </w:r>
          </w:p>
        </w:tc>
        <w:tc>
          <w:tcPr>
            <w:tcW w:type="dxa" w:w="2448"/>
          </w:tcPr>
          <w:p>
            <w:r/>
            <w:r>
              <w:rPr>
                <w:sz w:val="18"/>
              </w:rPr>
              <w:t>Share of sellers with a recorded coaching session in the last 30 days</w:t>
            </w:r>
          </w:p>
        </w:tc>
        <w:tc>
          <w:tcPr>
            <w:tcW w:type="dxa" w:w="2448"/>
          </w:tcPr>
          <w:p>
            <w:r/>
            <w:r>
              <w:rPr>
                <w:sz w:val="18"/>
              </w:rPr>
              <w:t>Sellers with a coaching record, divided by all sellers</w:t>
            </w:r>
          </w:p>
        </w:tc>
        <w:tc>
          <w:tcPr>
            <w:tcW w:type="dxa" w:w="2448"/>
          </w:tcPr>
          <w:p>
            <w:r/>
            <w:r>
              <w:rPr>
                <w:sz w:val="18"/>
              </w:rPr>
              <w:t>Coaching records, not calendar invites</w:t>
            </w:r>
          </w:p>
        </w:tc>
        <w:tc>
          <w:tcPr>
            <w:tcW w:type="dxa" w:w="2448"/>
          </w:tcPr>
          <w:p>
            <w:r/>
            <w:r>
              <w:rPr>
                <w:sz w:val="18"/>
              </w:rPr>
              <w:t>Sales management</w:t>
            </w:r>
          </w:p>
        </w:tc>
      </w:tr>
      <w:tr>
        <w:tc>
          <w:tcPr>
            <w:tcW w:type="dxa" w:w="2448"/>
          </w:tcPr>
          <w:p>
            <w:r/>
            <w:r>
              <w:rPr>
                <w:b/>
                <w:sz w:val="18"/>
              </w:rPr>
              <w:t>Win rate where enablement intervened</w:t>
            </w:r>
          </w:p>
        </w:tc>
        <w:tc>
          <w:tcPr>
            <w:tcW w:type="dxa" w:w="2448"/>
          </w:tcPr>
          <w:p>
            <w:r/>
            <w:r>
              <w:rPr>
                <w:sz w:val="18"/>
              </w:rPr>
              <w:t>Win rate on deals that used a playbook or certified play, against the rest</w:t>
            </w:r>
          </w:p>
        </w:tc>
        <w:tc>
          <w:tcPr>
            <w:tcW w:type="dxa" w:w="2448"/>
          </w:tcPr>
          <w:p>
            <w:r/>
            <w:r>
              <w:rPr>
                <w:sz w:val="18"/>
              </w:rPr>
              <w:t>Won divided by closed, for each group</w:t>
            </w:r>
          </w:p>
        </w:tc>
        <w:tc>
          <w:tcPr>
            <w:tcW w:type="dxa" w:w="2448"/>
          </w:tcPr>
          <w:p>
            <w:r/>
            <w:r>
              <w:rPr>
                <w:sz w:val="18"/>
              </w:rPr>
              <w:t>CRM, with a playbook or certification flag</w:t>
            </w:r>
          </w:p>
        </w:tc>
        <w:tc>
          <w:tcPr>
            <w:tcW w:type="dxa" w:w="2448"/>
          </w:tcPr>
          <w:p>
            <w:r/>
            <w:r>
              <w:rPr>
                <w:sz w:val="18"/>
              </w:rPr>
              <w:t>RevOps</w:t>
            </w:r>
          </w:p>
        </w:tc>
      </w:tr>
      <w:tr>
        <w:tc>
          <w:tcPr>
            <w:tcW w:type="dxa" w:w="2448"/>
          </w:tcPr>
          <w:p>
            <w:r/>
            <w:r>
              <w:rPr>
                <w:b/>
                <w:sz w:val="18"/>
              </w:rPr>
              <w:t>Seller rating of enablement</w:t>
            </w:r>
          </w:p>
        </w:tc>
        <w:tc>
          <w:tcPr>
            <w:tcW w:type="dxa" w:w="2448"/>
          </w:tcPr>
          <w:p>
            <w:r/>
            <w:r>
              <w:rPr>
                <w:sz w:val="18"/>
              </w:rPr>
              <w:t>How useful sellers rate enablement support</w:t>
            </w:r>
          </w:p>
        </w:tc>
        <w:tc>
          <w:tcPr>
            <w:tcW w:type="dxa" w:w="2448"/>
          </w:tcPr>
          <w:p>
            <w:r/>
            <w:r>
              <w:rPr>
                <w:sz w:val="18"/>
              </w:rPr>
              <w:t>Average score from a short quarterly survey</w:t>
            </w:r>
          </w:p>
        </w:tc>
        <w:tc>
          <w:tcPr>
            <w:tcW w:type="dxa" w:w="2448"/>
          </w:tcPr>
          <w:p>
            <w:r/>
            <w:r>
              <w:rPr>
                <w:sz w:val="18"/>
              </w:rPr>
              <w:t>Survey tool</w:t>
            </w:r>
          </w:p>
        </w:tc>
        <w:tc>
          <w:tcPr>
            <w:tcW w:type="dxa" w:w="2448"/>
          </w:tcPr>
          <w:p>
            <w:r/>
            <w:r>
              <w:rPr>
                <w:sz w:val="18"/>
              </w:rPr>
              <w:t>Enablement</w:t>
            </w:r>
          </w:p>
        </w:tc>
      </w:tr>
    </w:tbl>
    <w:p/>
    <w:p>
      <w:pPr>
        <w:pStyle w:val="Heading3"/>
      </w:pPr>
      <w:r>
        <w:t>Quarterly dashboard</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Metric</w:t>
            </w:r>
          </w:p>
        </w:tc>
        <w:tc>
          <w:tcPr>
            <w:tcW w:type="dxa" w:w="2040"/>
            <w:shd w:val="clear" w:color="auto" w:fill="DCE6F5"/>
          </w:tcPr>
          <w:p>
            <w:r/>
            <w:r>
              <w:rPr>
                <w:b/>
                <w:sz w:val="18"/>
              </w:rPr>
              <w:t>Last quarter</w:t>
            </w:r>
          </w:p>
        </w:tc>
        <w:tc>
          <w:tcPr>
            <w:tcW w:type="dxa" w:w="2040"/>
            <w:shd w:val="clear" w:color="auto" w:fill="DCE6F5"/>
          </w:tcPr>
          <w:p>
            <w:r/>
            <w:r>
              <w:rPr>
                <w:b/>
                <w:sz w:val="18"/>
              </w:rPr>
              <w:t>This quarter</w:t>
            </w:r>
          </w:p>
        </w:tc>
        <w:tc>
          <w:tcPr>
            <w:tcW w:type="dxa" w:w="2040"/>
            <w:shd w:val="clear" w:color="auto" w:fill="DCE6F5"/>
          </w:tcPr>
          <w:p>
            <w:r/>
            <w:r>
              <w:rPr>
                <w:b/>
                <w:sz w:val="18"/>
              </w:rPr>
              <w:t>Target</w:t>
            </w:r>
          </w:p>
        </w:tc>
        <w:tc>
          <w:tcPr>
            <w:tcW w:type="dxa" w:w="2040"/>
            <w:shd w:val="clear" w:color="auto" w:fill="DCE6F5"/>
          </w:tcPr>
          <w:p>
            <w:r/>
            <w:r>
              <w:rPr>
                <w:b/>
                <w:sz w:val="18"/>
              </w:rPr>
              <w:t>Status</w:t>
            </w:r>
          </w:p>
        </w:tc>
        <w:tc>
          <w:tcPr>
            <w:tcW w:type="dxa" w:w="2040"/>
            <w:shd w:val="clear" w:color="auto" w:fill="DCE6F5"/>
          </w:tcPr>
          <w:p>
            <w:r/>
            <w:r>
              <w:rPr>
                <w:b/>
                <w:sz w:val="18"/>
              </w:rPr>
              <w:t>One-line comment</w:t>
            </w:r>
          </w:p>
        </w:tc>
      </w:tr>
      <w:tr>
        <w:tc>
          <w:tcPr>
            <w:tcW w:type="dxa" w:w="2040"/>
          </w:tcPr>
          <w:p>
            <w:r/>
            <w:r>
              <w:rPr>
                <w:b/>
                <w:sz w:val="18"/>
              </w:rPr>
              <w:t>Ramp time to first deal</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[On track, at risk, off track]</w:t>
            </w:r>
          </w:p>
        </w:tc>
        <w:tc>
          <w:tcPr>
            <w:tcW w:type="dxa" w:w="2040"/>
          </w:tcPr>
          <w:p>
            <w:r/>
            <w:r>
              <w:rPr>
                <w:sz w:val="18"/>
              </w:rPr>
              <w:t>[Why it moved]</w:t>
            </w:r>
          </w:p>
        </w:tc>
      </w:tr>
      <w:tr>
        <w:tc>
          <w:tcPr>
            <w:tcW w:type="dxa" w:w="2040"/>
          </w:tcPr>
          <w:p>
            <w:r/>
            <w:r>
              <w:rPr>
                <w:b/>
                <w:sz w:val="18"/>
              </w:rPr>
              <w:t>Certification pass rate</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[Status]</w:t>
            </w:r>
          </w:p>
        </w:tc>
        <w:tc>
          <w:tcPr>
            <w:tcW w:type="dxa" w:w="2040"/>
          </w:tcPr>
          <w:p>
            <w:r/>
            <w:r>
              <w:rPr>
                <w:sz w:val="18"/>
              </w:rPr>
              <w:t>[Comment]</w:t>
            </w:r>
          </w:p>
        </w:tc>
      </w:tr>
      <w:tr>
        <w:tc>
          <w:tcPr>
            <w:tcW w:type="dxa" w:w="2040"/>
          </w:tcPr>
          <w:p>
            <w:r/>
            <w:r>
              <w:rPr>
                <w:b/>
                <w:sz w:val="18"/>
              </w:rPr>
              <w:t>Content usage</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[Status]</w:t>
            </w:r>
          </w:p>
        </w:tc>
        <w:tc>
          <w:tcPr>
            <w:tcW w:type="dxa" w:w="2040"/>
          </w:tcPr>
          <w:p>
            <w:r/>
            <w:r>
              <w:rPr>
                <w:sz w:val="18"/>
              </w:rPr>
              <w:t>[Comment]</w:t>
            </w:r>
          </w:p>
        </w:tc>
      </w:tr>
      <w:tr>
        <w:tc>
          <w:tcPr>
            <w:tcW w:type="dxa" w:w="2040"/>
          </w:tcPr>
          <w:p>
            <w:r/>
            <w:r>
              <w:rPr>
                <w:b/>
                <w:sz w:val="18"/>
              </w:rPr>
              <w:t>Content search success</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[Status]</w:t>
            </w:r>
          </w:p>
        </w:tc>
        <w:tc>
          <w:tcPr>
            <w:tcW w:type="dxa" w:w="2040"/>
          </w:tcPr>
          <w:p>
            <w:r/>
            <w:r>
              <w:rPr>
                <w:sz w:val="18"/>
              </w:rPr>
              <w:t>[Comment]</w:t>
            </w:r>
          </w:p>
        </w:tc>
      </w:tr>
      <w:tr>
        <w:tc>
          <w:tcPr>
            <w:tcW w:type="dxa" w:w="2040"/>
          </w:tcPr>
          <w:p>
            <w:r/>
            <w:r>
              <w:rPr>
                <w:b/>
                <w:sz w:val="18"/>
              </w:rPr>
              <w:t>Coaching coverage</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[Status]</w:t>
            </w:r>
          </w:p>
        </w:tc>
        <w:tc>
          <w:tcPr>
            <w:tcW w:type="dxa" w:w="2040"/>
          </w:tcPr>
          <w:p>
            <w:r/>
            <w:r>
              <w:rPr>
                <w:sz w:val="18"/>
              </w:rPr>
              <w:t>[Comment]</w:t>
            </w:r>
          </w:p>
        </w:tc>
      </w:tr>
      <w:tr>
        <w:tc>
          <w:tcPr>
            <w:tcW w:type="dxa" w:w="2040"/>
          </w:tcPr>
          <w:p>
            <w:r/>
            <w:r>
              <w:rPr>
                <w:b/>
                <w:sz w:val="18"/>
              </w:rPr>
              <w:t>Win rate where enablement intervened</w:t>
            </w:r>
          </w:p>
        </w:tc>
        <w:tc>
          <w:tcPr>
            <w:tcW w:type="dxa" w:w="2040"/>
          </w:tcPr>
          <w:p>
            <w:r/>
            <w:r>
              <w:rPr>
                <w:sz w:val="18"/>
              </w:rPr>
              <w:t>[Value]</w:t>
            </w:r>
          </w:p>
        </w:tc>
        <w:tc>
          <w:tcPr>
            <w:tcW w:type="dxa" w:w="2040"/>
          </w:tcPr>
          <w:p>
            <w:r/>
            <w:r>
              <w:rPr>
                <w:sz w:val="18"/>
              </w:rPr>
              <w:t>[Value]</w:t>
            </w:r>
          </w:p>
        </w:tc>
        <w:tc>
          <w:tcPr>
            <w:tcW w:type="dxa" w:w="2040"/>
          </w:tcPr>
          <w:p>
            <w:r/>
            <w:r>
              <w:rPr>
                <w:sz w:val="18"/>
              </w:rPr>
              <w:t>[Target]</w:t>
            </w:r>
          </w:p>
        </w:tc>
        <w:tc>
          <w:tcPr>
            <w:tcW w:type="dxa" w:w="2040"/>
          </w:tcPr>
          <w:p>
            <w:r/>
            <w:r>
              <w:rPr>
                <w:sz w:val="18"/>
              </w:rPr>
              <w:t>[Status]</w:t>
            </w:r>
          </w:p>
        </w:tc>
        <w:tc>
          <w:tcPr>
            <w:tcW w:type="dxa" w:w="2040"/>
          </w:tcPr>
          <w:p>
            <w:r/>
            <w:r>
              <w:rPr>
                <w:sz w:val="18"/>
              </w:rPr>
              <w:t>[Comment]</w:t>
            </w:r>
          </w:p>
        </w:tc>
      </w:tr>
    </w:tbl>
    <w:p/>
    <w:p>
      <w:pPr>
        <w:pStyle w:val="Heading3"/>
      </w:pPr>
      <w:r>
        <w:t>Leading indicators mapped to outcomes</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Programme</w:t>
            </w:r>
          </w:p>
        </w:tc>
        <w:tc>
          <w:tcPr>
            <w:tcW w:type="dxa" w:w="3060"/>
            <w:shd w:val="clear" w:color="auto" w:fill="DCE6F5"/>
          </w:tcPr>
          <w:p>
            <w:r/>
            <w:r>
              <w:rPr>
                <w:b/>
                <w:sz w:val="18"/>
              </w:rPr>
              <w:t>Leading indicator (weeks)</w:t>
            </w:r>
          </w:p>
        </w:tc>
        <w:tc>
          <w:tcPr>
            <w:tcW w:type="dxa" w:w="3060"/>
            <w:shd w:val="clear" w:color="auto" w:fill="DCE6F5"/>
          </w:tcPr>
          <w:p>
            <w:r/>
            <w:r>
              <w:rPr>
                <w:b/>
                <w:sz w:val="18"/>
              </w:rPr>
              <w:t>Lagging outcome (a quarter or more)</w:t>
            </w:r>
          </w:p>
        </w:tc>
        <w:tc>
          <w:tcPr>
            <w:tcW w:type="dxa" w:w="3060"/>
            <w:shd w:val="clear" w:color="auto" w:fill="DCE6F5"/>
          </w:tcPr>
          <w:p>
            <w:r/>
            <w:r>
              <w:rPr>
                <w:b/>
                <w:sz w:val="18"/>
              </w:rPr>
              <w:t>Where it is measured</w:t>
            </w:r>
          </w:p>
        </w:tc>
      </w:tr>
      <w:tr>
        <w:tc>
          <w:tcPr>
            <w:tcW w:type="dxa" w:w="3060"/>
          </w:tcPr>
          <w:p>
            <w:r/>
            <w:r>
              <w:rPr>
                <w:b/>
                <w:sz w:val="18"/>
              </w:rPr>
              <w:t>[Onboarding programme]</w:t>
            </w:r>
          </w:p>
        </w:tc>
        <w:tc>
          <w:tcPr>
            <w:tcW w:type="dxa" w:w="3060"/>
          </w:tcPr>
          <w:p>
            <w:r/>
            <w:r>
              <w:rPr>
                <w:sz w:val="18"/>
              </w:rPr>
              <w:t>[Certification pass rate by day 45]</w:t>
            </w:r>
          </w:p>
        </w:tc>
        <w:tc>
          <w:tcPr>
            <w:tcW w:type="dxa" w:w="3060"/>
          </w:tcPr>
          <w:p>
            <w:r/>
            <w:r>
              <w:rPr>
                <w:sz w:val="18"/>
              </w:rPr>
              <w:t>[Ramp time to first deal]</w:t>
            </w:r>
          </w:p>
        </w:tc>
        <w:tc>
          <w:tcPr>
            <w:tcW w:type="dxa" w:w="3060"/>
          </w:tcPr>
          <w:p>
            <w:r/>
            <w:r>
              <w:rPr>
                <w:sz w:val="18"/>
              </w:rPr>
              <w:t>[Practice tool and CRM]</w:t>
            </w:r>
          </w:p>
        </w:tc>
      </w:tr>
      <w:tr>
        <w:tc>
          <w:tcPr>
            <w:tcW w:type="dxa" w:w="3060"/>
          </w:tcPr>
          <w:p>
            <w:r/>
            <w:r>
              <w:rPr>
                <w:b/>
                <w:sz w:val="18"/>
              </w:rPr>
              <w:t>[Content library clean-up]</w:t>
            </w:r>
          </w:p>
        </w:tc>
        <w:tc>
          <w:tcPr>
            <w:tcW w:type="dxa" w:w="3060"/>
          </w:tcPr>
          <w:p>
            <w:r/>
            <w:r>
              <w:rPr>
                <w:sz w:val="18"/>
              </w:rPr>
              <w:t>[Content search success]</w:t>
            </w:r>
          </w:p>
        </w:tc>
        <w:tc>
          <w:tcPr>
            <w:tcW w:type="dxa" w:w="3060"/>
          </w:tcPr>
          <w:p>
            <w:r/>
            <w:r>
              <w:rPr>
                <w:sz w:val="18"/>
              </w:rPr>
              <w:t>[Buyer engagement on shared content]</w:t>
            </w:r>
          </w:p>
        </w:tc>
        <w:tc>
          <w:tcPr>
            <w:tcW w:type="dxa" w:w="3060"/>
          </w:tcPr>
          <w:p>
            <w:r/>
            <w:r>
              <w:rPr>
                <w:sz w:val="18"/>
              </w:rPr>
              <w:t>[Content platform]</w:t>
            </w:r>
          </w:p>
        </w:tc>
      </w:tr>
      <w:tr>
        <w:tc>
          <w:tcPr>
            <w:tcW w:type="dxa" w:w="3060"/>
          </w:tcPr>
          <w:p>
            <w:r/>
            <w:r>
              <w:rPr>
                <w:b/>
                <w:sz w:val="18"/>
              </w:rPr>
              <w:t>[Coaching rhythm]</w:t>
            </w:r>
          </w:p>
        </w:tc>
        <w:tc>
          <w:tcPr>
            <w:tcW w:type="dxa" w:w="3060"/>
          </w:tcPr>
          <w:p>
            <w:r/>
            <w:r>
              <w:rPr>
                <w:sz w:val="18"/>
              </w:rPr>
              <w:t>[Coaching coverage]</w:t>
            </w:r>
          </w:p>
        </w:tc>
        <w:tc>
          <w:tcPr>
            <w:tcW w:type="dxa" w:w="3060"/>
          </w:tcPr>
          <w:p>
            <w:r/>
            <w:r>
              <w:rPr>
                <w:sz w:val="18"/>
              </w:rPr>
              <w:t>[Win rate where enablement intervened]</w:t>
            </w:r>
          </w:p>
        </w:tc>
        <w:tc>
          <w:tcPr>
            <w:tcW w:type="dxa" w:w="3060"/>
          </w:tcPr>
          <w:p>
            <w:r/>
            <w:r>
              <w:rPr>
                <w:sz w:val="18"/>
              </w:rPr>
              <w:t>[Coaching records and CRM]</w:t>
            </w:r>
          </w:p>
        </w:tc>
      </w:tr>
    </w:tbl>
    <w:p/>
    <w:p>
      <w:pPr>
        <w:pStyle w:val="Heading3"/>
      </w:pPr>
      <w:r>
        <w:t>Review cadence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Rhythm</w:t>
            </w:r>
          </w:p>
        </w:tc>
        <w:tc>
          <w:tcPr>
            <w:tcW w:type="dxa" w:w="4080"/>
            <w:shd w:val="clear" w:color="auto" w:fill="DCE6F5"/>
          </w:tcPr>
          <w:p>
            <w:r/>
            <w:r>
              <w:rPr>
                <w:b/>
                <w:sz w:val="18"/>
              </w:rPr>
              <w:t>Meeting</w:t>
            </w:r>
          </w:p>
        </w:tc>
        <w:tc>
          <w:tcPr>
            <w:tcW w:type="dxa" w:w="4080"/>
            <w:shd w:val="clear" w:color="auto" w:fill="DCE6F5"/>
          </w:tcPr>
          <w:p>
            <w:r/>
            <w:r>
              <w:rPr>
                <w:b/>
                <w:sz w:val="18"/>
              </w:rPr>
              <w:t>Standing output</w:t>
            </w:r>
          </w:p>
        </w:tc>
      </w:tr>
      <w:tr>
        <w:tc>
          <w:tcPr>
            <w:tcW w:type="dxa" w:w="4080"/>
          </w:tcPr>
          <w:p>
            <w:r/>
            <w:r>
              <w:rPr>
                <w:b/>
                <w:sz w:val="18"/>
              </w:rPr>
              <w:t>Monthly</w:t>
            </w:r>
          </w:p>
        </w:tc>
        <w:tc>
          <w:tcPr>
            <w:tcW w:type="dxa" w:w="4080"/>
          </w:tcPr>
          <w:p>
            <w:r/>
            <w:r>
              <w:rPr>
                <w:sz w:val="18"/>
              </w:rPr>
              <w:t>Scorecard check with programme owners</w:t>
            </w:r>
          </w:p>
        </w:tc>
        <w:tc>
          <w:tcPr>
            <w:tcW w:type="dxa" w:w="4080"/>
          </w:tcPr>
          <w:p>
            <w:r/>
            <w:r>
              <w:rPr>
                <w:sz w:val="18"/>
              </w:rPr>
              <w:t>Status per programme, with actions for anything off track</w:t>
            </w:r>
          </w:p>
        </w:tc>
      </w:tr>
      <w:tr>
        <w:tc>
          <w:tcPr>
            <w:tcW w:type="dxa" w:w="4080"/>
          </w:tcPr>
          <w:p>
            <w:r/>
            <w:r>
              <w:rPr>
                <w:b/>
                <w:sz w:val="18"/>
              </w:rPr>
              <w:t>Quarterly</w:t>
            </w:r>
          </w:p>
        </w:tc>
        <w:tc>
          <w:tcPr>
            <w:tcW w:type="dxa" w:w="4080"/>
          </w:tcPr>
          <w:p>
            <w:r/>
            <w:r>
              <w:rPr>
                <w:sz w:val="18"/>
              </w:rPr>
              <w:t>Dashboard review with sales leadership</w:t>
            </w:r>
          </w:p>
        </w:tc>
        <w:tc>
          <w:tcPr>
            <w:tcW w:type="dxa" w:w="4080"/>
          </w:tcPr>
          <w:p>
            <w:r/>
            <w:r>
              <w:rPr>
                <w:sz w:val="18"/>
              </w:rPr>
              <w:t>The dashboard plus a one-page story of what moved and why</w:t>
            </w:r>
          </w:p>
        </w:tc>
      </w:tr>
      <w:tr>
        <w:tc>
          <w:tcPr>
            <w:tcW w:type="dxa" w:w="4080"/>
          </w:tcPr>
          <w:p>
            <w:r/>
            <w:r>
              <w:rPr>
                <w:b/>
                <w:sz w:val="18"/>
              </w:rPr>
              <w:t>Yearly</w:t>
            </w:r>
          </w:p>
        </w:tc>
        <w:tc>
          <w:tcPr>
            <w:tcW w:type="dxa" w:w="4080"/>
          </w:tcPr>
          <w:p>
            <w:r/>
            <w:r>
              <w:rPr>
                <w:sz w:val="18"/>
              </w:rPr>
              <w:t>Dictionary review</w:t>
            </w:r>
          </w:p>
        </w:tc>
        <w:tc>
          <w:tcPr>
            <w:tcW w:type="dxa" w:w="4080"/>
          </w:tcPr>
          <w:p>
            <w:r/>
            <w:r>
              <w:rPr>
                <w:sz w:val="18"/>
              </w:rPr>
              <w:t>Metrics added, retired or redefined, with the version number raised</w:t>
            </w:r>
          </w:p>
        </w:tc>
      </w:tr>
    </w:tbl>
    <w:p/>
    <w:p>
      <w:r>
        <w:br w:type="page"/>
      </w:r>
    </w:p>
    <w:p>
      <w:pPr>
        <w:pStyle w:val="Heading1"/>
      </w:pPr>
      <w:r>
        <w:t>A worked example</w:t>
      </w:r>
    </w:p>
    <w:p>
      <w:r>
        <w:rPr>
          <w:b/>
        </w:rPr>
        <w:t xml:space="preserve">Example: fictional company. </w:t>
      </w:r>
      <w:r>
        <w:t>Marlow &amp; Finch Logistics sells fleet software through 50 sellers. Daniel Osei leads enablement and reports to the CRO each quarter. This is his Q2 dashboard. All figures are invented for illustration and are not benchmarks.</w:t>
      </w:r>
    </w:p>
    <w:p>
      <w:pPr>
        <w:pStyle w:val="Heading3"/>
      </w:pPr>
      <w:r>
        <w:t>Marlow &amp; Finch Logistics: Q2 dashboard</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Metric</w:t>
            </w:r>
          </w:p>
        </w:tc>
        <w:tc>
          <w:tcPr>
            <w:tcW w:type="dxa" w:w="2448"/>
            <w:shd w:val="clear" w:color="auto" w:fill="FBE7C6"/>
          </w:tcPr>
          <w:p>
            <w:r/>
            <w:r>
              <w:rPr>
                <w:b/>
                <w:sz w:val="18"/>
              </w:rPr>
              <w:t>Q1</w:t>
            </w:r>
          </w:p>
        </w:tc>
        <w:tc>
          <w:tcPr>
            <w:tcW w:type="dxa" w:w="2448"/>
            <w:shd w:val="clear" w:color="auto" w:fill="FBE7C6"/>
          </w:tcPr>
          <w:p>
            <w:r/>
            <w:r>
              <w:rPr>
                <w:b/>
                <w:sz w:val="18"/>
              </w:rPr>
              <w:t>Q2</w:t>
            </w:r>
          </w:p>
        </w:tc>
        <w:tc>
          <w:tcPr>
            <w:tcW w:type="dxa" w:w="2448"/>
            <w:shd w:val="clear" w:color="auto" w:fill="FBE7C6"/>
          </w:tcPr>
          <w:p>
            <w:r/>
            <w:r>
              <w:rPr>
                <w:b/>
                <w:sz w:val="18"/>
              </w:rPr>
              <w:t>Target</w:t>
            </w:r>
          </w:p>
        </w:tc>
        <w:tc>
          <w:tcPr>
            <w:tcW w:type="dxa" w:w="2448"/>
            <w:shd w:val="clear" w:color="auto" w:fill="FBE7C6"/>
          </w:tcPr>
          <w:p>
            <w:r/>
            <w:r>
              <w:rPr>
                <w:b/>
                <w:sz w:val="18"/>
              </w:rPr>
              <w:t>Comment</w:t>
            </w:r>
          </w:p>
        </w:tc>
      </w:tr>
      <w:tr>
        <w:tc>
          <w:tcPr>
            <w:tcW w:type="dxa" w:w="2448"/>
          </w:tcPr>
          <w:p>
            <w:r/>
            <w:r>
              <w:rPr>
                <w:b/>
                <w:sz w:val="18"/>
              </w:rPr>
              <w:t>Ramp time to first deal (median days)</w:t>
            </w:r>
          </w:p>
        </w:tc>
        <w:tc>
          <w:tcPr>
            <w:tcW w:type="dxa" w:w="2448"/>
          </w:tcPr>
          <w:p>
            <w:r/>
            <w:r>
              <w:rPr>
                <w:sz w:val="18"/>
              </w:rPr>
              <w:t>142</w:t>
            </w:r>
          </w:p>
        </w:tc>
        <w:tc>
          <w:tcPr>
            <w:tcW w:type="dxa" w:w="2448"/>
          </w:tcPr>
          <w:p>
            <w:r/>
            <w:r>
              <w:rPr>
                <w:sz w:val="18"/>
              </w:rPr>
              <w:t>131</w:t>
            </w:r>
          </w:p>
        </w:tc>
        <w:tc>
          <w:tcPr>
            <w:tcW w:type="dxa" w:w="2448"/>
          </w:tcPr>
          <w:p>
            <w:r/>
            <w:r>
              <w:rPr>
                <w:sz w:val="18"/>
              </w:rPr>
              <w:t>120 by Q4</w:t>
            </w:r>
          </w:p>
        </w:tc>
        <w:tc>
          <w:tcPr>
            <w:tcW w:type="dxa" w:w="2448"/>
          </w:tcPr>
          <w:p>
            <w:r/>
            <w:r>
              <w:rPr>
                <w:sz w:val="18"/>
              </w:rPr>
              <w:t>First cohort through the new certification gates; too early to call the trend.</w:t>
            </w:r>
          </w:p>
        </w:tc>
      </w:tr>
      <w:tr>
        <w:tc>
          <w:tcPr>
            <w:tcW w:type="dxa" w:w="2448"/>
          </w:tcPr>
          <w:p>
            <w:r/>
            <w:r>
              <w:rPr>
                <w:b/>
                <w:sz w:val="18"/>
              </w:rPr>
              <w:t>Certification pass rate, discovery</w:t>
            </w:r>
          </w:p>
        </w:tc>
        <w:tc>
          <w:tcPr>
            <w:tcW w:type="dxa" w:w="2448"/>
          </w:tcPr>
          <w:p>
            <w:r/>
            <w:r>
              <w:rPr>
                <w:sz w:val="18"/>
              </w:rPr>
              <w:t>58 of 100</w:t>
            </w:r>
          </w:p>
        </w:tc>
        <w:tc>
          <w:tcPr>
            <w:tcW w:type="dxa" w:w="2448"/>
          </w:tcPr>
          <w:p>
            <w:r/>
            <w:r>
              <w:rPr>
                <w:sz w:val="18"/>
              </w:rPr>
              <w:t>71 of 100</w:t>
            </w:r>
          </w:p>
        </w:tc>
        <w:tc>
          <w:tcPr>
            <w:tcW w:type="dxa" w:w="2448"/>
          </w:tcPr>
          <w:p>
            <w:r/>
            <w:r>
              <w:rPr>
                <w:sz w:val="18"/>
              </w:rPr>
              <w:t>80 of 100</w:t>
            </w:r>
          </w:p>
        </w:tc>
        <w:tc>
          <w:tcPr>
            <w:tcW w:type="dxa" w:w="2448"/>
          </w:tcPr>
          <w:p>
            <w:r/>
            <w:r>
              <w:rPr>
                <w:sz w:val="18"/>
              </w:rPr>
              <w:t>Rewritten scenario in May; managers now practise with reps before the attempt.</w:t>
            </w:r>
          </w:p>
        </w:tc>
      </w:tr>
      <w:tr>
        <w:tc>
          <w:tcPr>
            <w:tcW w:type="dxa" w:w="2448"/>
          </w:tcPr>
          <w:p>
            <w:r/>
            <w:r>
              <w:rPr>
                <w:b/>
                <w:sz w:val="18"/>
              </w:rPr>
              <w:t>Content search success</w:t>
            </w:r>
          </w:p>
        </w:tc>
        <w:tc>
          <w:tcPr>
            <w:tcW w:type="dxa" w:w="2448"/>
          </w:tcPr>
          <w:p>
            <w:r/>
            <w:r>
              <w:rPr>
                <w:sz w:val="18"/>
              </w:rPr>
              <w:t>About half of searches</w:t>
            </w:r>
          </w:p>
        </w:tc>
        <w:tc>
          <w:tcPr>
            <w:tcW w:type="dxa" w:w="2448"/>
          </w:tcPr>
          <w:p>
            <w:r/>
            <w:r>
              <w:rPr>
                <w:sz w:val="18"/>
              </w:rPr>
              <w:t>About two thirds</w:t>
            </w:r>
          </w:p>
        </w:tc>
        <w:tc>
          <w:tcPr>
            <w:tcW w:type="dxa" w:w="2448"/>
          </w:tcPr>
          <w:p>
            <w:r/>
            <w:r>
              <w:rPr>
                <w:sz w:val="18"/>
              </w:rPr>
              <w:t>Three quarters</w:t>
            </w:r>
          </w:p>
        </w:tc>
        <w:tc>
          <w:tcPr>
            <w:tcW w:type="dxa" w:w="2448"/>
          </w:tcPr>
          <w:p>
            <w:r/>
            <w:r>
              <w:rPr>
                <w:sz w:val="18"/>
              </w:rPr>
              <w:t>Library clean-up retired 340 stale assets in April.</w:t>
            </w:r>
          </w:p>
        </w:tc>
      </w:tr>
      <w:tr>
        <w:tc>
          <w:tcPr>
            <w:tcW w:type="dxa" w:w="2448"/>
          </w:tcPr>
          <w:p>
            <w:r/>
            <w:r>
              <w:rPr>
                <w:b/>
                <w:sz w:val="18"/>
              </w:rPr>
              <w:t>Coaching coverage</w:t>
            </w:r>
          </w:p>
        </w:tc>
        <w:tc>
          <w:tcPr>
            <w:tcW w:type="dxa" w:w="2448"/>
          </w:tcPr>
          <w:p>
            <w:r/>
            <w:r>
              <w:rPr>
                <w:sz w:val="18"/>
              </w:rPr>
              <w:t>22 of 50 sellers</w:t>
            </w:r>
          </w:p>
        </w:tc>
        <w:tc>
          <w:tcPr>
            <w:tcW w:type="dxa" w:w="2448"/>
          </w:tcPr>
          <w:p>
            <w:r/>
            <w:r>
              <w:rPr>
                <w:sz w:val="18"/>
              </w:rPr>
              <w:t>39 of 50</w:t>
            </w:r>
          </w:p>
        </w:tc>
        <w:tc>
          <w:tcPr>
            <w:tcW w:type="dxa" w:w="2448"/>
          </w:tcPr>
          <w:p>
            <w:r/>
            <w:r>
              <w:rPr>
                <w:sz w:val="18"/>
              </w:rPr>
              <w:t>45 of 50</w:t>
            </w:r>
          </w:p>
        </w:tc>
        <w:tc>
          <w:tcPr>
            <w:tcW w:type="dxa" w:w="2448"/>
          </w:tcPr>
          <w:p>
            <w:r/>
            <w:r>
              <w:rPr>
                <w:sz w:val="18"/>
              </w:rPr>
              <w:t>Two managers still log coaching in calendars only; fixed in July.</w:t>
            </w:r>
          </w:p>
        </w:tc>
      </w:tr>
      <w:tr>
        <w:tc>
          <w:tcPr>
            <w:tcW w:type="dxa" w:w="2448"/>
          </w:tcPr>
          <w:p>
            <w:r/>
            <w:r>
              <w:rPr>
                <w:b/>
                <w:sz w:val="18"/>
              </w:rPr>
              <w:t>Win rate where a playbook was used, against the rest</w:t>
            </w:r>
          </w:p>
        </w:tc>
        <w:tc>
          <w:tcPr>
            <w:tcW w:type="dxa" w:w="2448"/>
          </w:tcPr>
          <w:p>
            <w:r/>
            <w:r>
              <w:rPr>
                <w:sz w:val="18"/>
              </w:rPr>
              <w:t>No flag yet</w:t>
            </w:r>
          </w:p>
        </w:tc>
        <w:tc>
          <w:tcPr>
            <w:tcW w:type="dxa" w:w="2448"/>
          </w:tcPr>
          <w:p>
            <w:r/>
            <w:r>
              <w:rPr>
                <w:sz w:val="18"/>
              </w:rPr>
              <w:t>Flag added in June</w:t>
            </w:r>
          </w:p>
        </w:tc>
        <w:tc>
          <w:tcPr>
            <w:tcW w:type="dxa" w:w="2448"/>
          </w:tcPr>
          <w:p>
            <w:r/>
            <w:r>
              <w:rPr>
                <w:sz w:val="18"/>
              </w:rPr>
              <w:t>Report from Q3</w:t>
            </w:r>
          </w:p>
        </w:tc>
        <w:tc>
          <w:tcPr>
            <w:tcW w:type="dxa" w:w="2448"/>
          </w:tcPr>
          <w:p>
            <w:r/>
            <w:r>
              <w:rPr>
                <w:sz w:val="18"/>
              </w:rPr>
              <w:t>Not enough closed deals with the flag to report honestly.</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Activity metrics on the dashboard: </w:t>
      </w:r>
      <w:r>
        <w:t>Sessions delivered, courses completed and assets published describe effort. They belong in the team's own tracker. The dashboard should show behaviour change and outcomes.</w:t>
      </w:r>
    </w:p>
    <w:p>
      <w:pPr>
        <w:pStyle w:val="ListBullet"/>
      </w:pPr>
      <w:r>
        <w:rPr>
          <w:b/>
        </w:rPr>
        <w:t xml:space="preserve">Claiming enablement caused revenue: </w:t>
      </w:r>
      <w:r>
        <w:t>Win rate on deals that used a playbook is an association, not proof. Presenting it as causation is the fastest way to lose finance's trust in every other number on the page.</w:t>
      </w:r>
    </w:p>
    <w:p>
      <w:pPr>
        <w:pStyle w:val="ListBullet"/>
      </w:pPr>
      <w:r>
        <w:rPr>
          <w:b/>
        </w:rPr>
        <w:t xml:space="preserve">Definitions that drift: </w:t>
      </w:r>
      <w:r>
        <w:t>When "ramp" quietly changes from first deal to quota attainment, the trend line breaks and nobody notices. Version the dictionary and note the version on every dashboard.</w:t>
      </w:r>
    </w:p>
    <w:p>
      <w:pPr>
        <w:pStyle w:val="ListBullet"/>
      </w:pPr>
      <w:r>
        <w:rPr>
          <w:b/>
        </w:rPr>
        <w:t xml:space="preserve">Calendar invites as coaching data: </w:t>
      </w:r>
      <w:r>
        <w:t>A meeting on the calendar is not a coaching session. Coverage should come from coaching records with notes, or it will report coaching that never happened.</w:t>
      </w:r>
    </w:p>
    <w:p>
      <w:pPr>
        <w:pStyle w:val="ListBullet"/>
      </w:pPr>
      <w:r>
        <w:rPr>
          <w:b/>
        </w:rPr>
        <w:t xml:space="preserve">No data cut-off date: </w:t>
      </w:r>
      <w:r>
        <w:t>Deals close late and activity syncs overnight. Without a stated cut-off, the same dashboard shows different numbers on different days and the review starts with a reconciliation.</w:t>
      </w:r>
    </w:p>
    <w:p>
      <w:pPr>
        <w:pStyle w:val="ListBullet"/>
      </w:pPr>
      <w:r>
        <w:rPr>
          <w:b/>
        </w:rPr>
        <w:t xml:space="preserve">Building it in the tool before agreeing it on paper: </w:t>
      </w:r>
      <w:r>
        <w:t>Dashboards built straight into a BI tool encode whoever built them. Agree the dictionary and layout in this template first, then build.</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https://www.revspire.io/resources/templates/sales-enablement-dashboard-template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enablement dashboard template</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